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1"/>
        </w:numPr>
        <w:rPr>
          <w:b/>
          <w:bCs/>
          <w:sz w:val="30"/>
          <w:szCs w:val="30"/>
        </w:rPr>
      </w:pPr>
      <w:bookmarkStart w:id="0" w:name="_Toc20571"/>
      <w:bookmarkStart w:id="1" w:name="_Toc464546953"/>
      <w:r>
        <w:rPr>
          <w:rFonts w:hint="eastAsia"/>
          <w:b/>
          <w:bCs/>
          <w:sz w:val="30"/>
          <w:szCs w:val="30"/>
        </w:rPr>
        <w:t>采购内容</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218"/>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 w:type="dxa"/>
            <w:vAlign w:val="center"/>
          </w:tcPr>
          <w:p>
            <w:pPr>
              <w:pStyle w:val="129"/>
              <w:jc w:val="center"/>
              <w:rPr>
                <w:rFonts w:ascii="宋体" w:hAnsi="宋体"/>
                <w:kern w:val="2"/>
                <w:szCs w:val="22"/>
              </w:rPr>
            </w:pPr>
            <w:r>
              <w:rPr>
                <w:rFonts w:ascii="宋体" w:hAnsi="宋体"/>
                <w:kern w:val="2"/>
                <w:szCs w:val="22"/>
              </w:rPr>
              <w:t>序号</w:t>
            </w:r>
          </w:p>
        </w:tc>
        <w:tc>
          <w:tcPr>
            <w:tcW w:w="4218" w:type="dxa"/>
            <w:vAlign w:val="center"/>
          </w:tcPr>
          <w:p>
            <w:pPr>
              <w:pStyle w:val="129"/>
              <w:jc w:val="center"/>
              <w:rPr>
                <w:rFonts w:ascii="宋体" w:hAnsi="宋体"/>
                <w:kern w:val="2"/>
                <w:szCs w:val="22"/>
              </w:rPr>
            </w:pPr>
            <w:r>
              <w:rPr>
                <w:rFonts w:ascii="宋体" w:hAnsi="宋体"/>
                <w:kern w:val="2"/>
                <w:szCs w:val="22"/>
              </w:rPr>
              <w:t>货物名称</w:t>
            </w:r>
          </w:p>
        </w:tc>
        <w:tc>
          <w:tcPr>
            <w:tcW w:w="1843" w:type="dxa"/>
            <w:vAlign w:val="center"/>
          </w:tcPr>
          <w:p>
            <w:pPr>
              <w:pStyle w:val="129"/>
              <w:jc w:val="center"/>
              <w:rPr>
                <w:rFonts w:ascii="宋体" w:hAnsi="宋体"/>
                <w:kern w:val="2"/>
                <w:szCs w:val="22"/>
              </w:rPr>
            </w:pPr>
            <w:r>
              <w:rPr>
                <w:rFonts w:ascii="宋体" w:hAnsi="宋体"/>
                <w:kern w:val="2"/>
                <w:szCs w:val="22"/>
              </w:rPr>
              <w:t>数量</w:t>
            </w:r>
          </w:p>
        </w:tc>
        <w:tc>
          <w:tcPr>
            <w:tcW w:w="1843" w:type="dxa"/>
            <w:vAlign w:val="center"/>
          </w:tcPr>
          <w:p>
            <w:pPr>
              <w:pStyle w:val="129"/>
              <w:jc w:val="center"/>
              <w:rPr>
                <w:rFonts w:ascii="宋体" w:hAnsi="宋体"/>
                <w:kern w:val="2"/>
                <w:szCs w:val="22"/>
              </w:rPr>
            </w:pPr>
            <w:r>
              <w:rPr>
                <w:rFonts w:hint="eastAsia" w:ascii="宋体" w:hAnsi="宋体"/>
                <w:kern w:val="2"/>
                <w:szCs w:val="22"/>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32" w:type="dxa"/>
            <w:vAlign w:val="center"/>
          </w:tcPr>
          <w:p>
            <w:pPr>
              <w:pStyle w:val="129"/>
              <w:jc w:val="center"/>
              <w:rPr>
                <w:rFonts w:ascii="宋体" w:hAnsi="宋体"/>
                <w:kern w:val="2"/>
                <w:szCs w:val="22"/>
              </w:rPr>
            </w:pPr>
            <w:r>
              <w:rPr>
                <w:rFonts w:ascii="宋体" w:hAnsi="宋体"/>
                <w:kern w:val="2"/>
                <w:szCs w:val="22"/>
              </w:rPr>
              <w:t>1</w:t>
            </w:r>
          </w:p>
        </w:tc>
        <w:tc>
          <w:tcPr>
            <w:tcW w:w="4218" w:type="dxa"/>
            <w:vAlign w:val="center"/>
          </w:tcPr>
          <w:p>
            <w:pPr>
              <w:pStyle w:val="129"/>
              <w:jc w:val="center"/>
              <w:rPr>
                <w:rFonts w:ascii="宋体" w:hAnsi="宋体"/>
                <w:kern w:val="2"/>
                <w:szCs w:val="22"/>
              </w:rPr>
            </w:pPr>
            <w:r>
              <w:rPr>
                <w:rFonts w:hint="eastAsia" w:ascii="宋体" w:hAnsi="宋体"/>
                <w:kern w:val="2"/>
                <w:szCs w:val="22"/>
              </w:rPr>
              <w:t>移动护理信息系统</w:t>
            </w:r>
          </w:p>
        </w:tc>
        <w:tc>
          <w:tcPr>
            <w:tcW w:w="1843" w:type="dxa"/>
            <w:vAlign w:val="center"/>
          </w:tcPr>
          <w:p>
            <w:pPr>
              <w:pStyle w:val="129"/>
              <w:jc w:val="center"/>
              <w:rPr>
                <w:rFonts w:ascii="宋体" w:hAnsi="宋体"/>
                <w:kern w:val="2"/>
                <w:szCs w:val="22"/>
              </w:rPr>
            </w:pPr>
            <w:r>
              <w:rPr>
                <w:rFonts w:ascii="宋体" w:hAnsi="宋体"/>
                <w:kern w:val="2"/>
                <w:szCs w:val="22"/>
              </w:rPr>
              <w:t>1套</w:t>
            </w:r>
          </w:p>
        </w:tc>
        <w:tc>
          <w:tcPr>
            <w:tcW w:w="1843" w:type="dxa"/>
            <w:vAlign w:val="center"/>
          </w:tcPr>
          <w:p>
            <w:pPr>
              <w:pStyle w:val="129"/>
              <w:jc w:val="center"/>
              <w:rPr>
                <w:rFonts w:ascii="宋体" w:hAnsi="宋体"/>
                <w:kern w:val="2"/>
                <w:szCs w:val="22"/>
              </w:rPr>
            </w:pPr>
            <w:r>
              <w:rPr>
                <w:rFonts w:hint="eastAsia" w:ascii="宋体" w:hAnsi="宋体"/>
                <w:kern w:val="2"/>
                <w:szCs w:val="22"/>
              </w:rPr>
              <w:t>120万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32" w:type="dxa"/>
            <w:vAlign w:val="center"/>
          </w:tcPr>
          <w:p>
            <w:pPr>
              <w:pStyle w:val="129"/>
              <w:jc w:val="center"/>
              <w:rPr>
                <w:rFonts w:ascii="宋体" w:hAnsi="宋体"/>
                <w:kern w:val="2"/>
                <w:szCs w:val="22"/>
              </w:rPr>
            </w:pPr>
            <w:r>
              <w:rPr>
                <w:rFonts w:hint="eastAsia" w:ascii="宋体" w:hAnsi="宋体"/>
                <w:kern w:val="2"/>
                <w:szCs w:val="22"/>
              </w:rPr>
              <w:t>2</w:t>
            </w:r>
          </w:p>
        </w:tc>
        <w:tc>
          <w:tcPr>
            <w:tcW w:w="4218" w:type="dxa"/>
            <w:vAlign w:val="center"/>
          </w:tcPr>
          <w:p>
            <w:pPr>
              <w:pStyle w:val="129"/>
              <w:jc w:val="center"/>
              <w:rPr>
                <w:rFonts w:ascii="宋体" w:hAnsi="宋体"/>
                <w:kern w:val="2"/>
                <w:szCs w:val="22"/>
              </w:rPr>
            </w:pPr>
            <w:r>
              <w:rPr>
                <w:rFonts w:hint="eastAsia" w:ascii="宋体" w:hAnsi="宋体"/>
                <w:kern w:val="2"/>
                <w:szCs w:val="22"/>
              </w:rPr>
              <w:t>护理管理系统（含护理教学培训）</w:t>
            </w:r>
          </w:p>
        </w:tc>
        <w:tc>
          <w:tcPr>
            <w:tcW w:w="1843" w:type="dxa"/>
            <w:vAlign w:val="center"/>
          </w:tcPr>
          <w:p>
            <w:pPr>
              <w:pStyle w:val="129"/>
              <w:jc w:val="center"/>
              <w:rPr>
                <w:rFonts w:ascii="宋体" w:hAnsi="宋体"/>
                <w:kern w:val="2"/>
                <w:szCs w:val="22"/>
              </w:rPr>
            </w:pPr>
            <w:r>
              <w:rPr>
                <w:rFonts w:ascii="宋体" w:hAnsi="宋体"/>
                <w:kern w:val="2"/>
                <w:szCs w:val="22"/>
              </w:rPr>
              <w:t>1套</w:t>
            </w:r>
          </w:p>
        </w:tc>
        <w:tc>
          <w:tcPr>
            <w:tcW w:w="1843" w:type="dxa"/>
            <w:vAlign w:val="center"/>
          </w:tcPr>
          <w:p>
            <w:pPr>
              <w:pStyle w:val="129"/>
              <w:jc w:val="center"/>
              <w:rPr>
                <w:rFonts w:ascii="宋体" w:hAnsi="宋体"/>
                <w:kern w:val="2"/>
                <w:szCs w:val="22"/>
              </w:rPr>
            </w:pPr>
            <w:r>
              <w:rPr>
                <w:rFonts w:hint="eastAsia" w:ascii="宋体" w:hAnsi="宋体"/>
                <w:kern w:val="2"/>
                <w:szCs w:val="22"/>
              </w:rPr>
              <w:t>60万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32" w:type="dxa"/>
            <w:vAlign w:val="center"/>
          </w:tcPr>
          <w:p>
            <w:pPr>
              <w:pStyle w:val="129"/>
              <w:jc w:val="center"/>
              <w:rPr>
                <w:rFonts w:ascii="宋体" w:hAnsi="宋体"/>
                <w:b/>
                <w:color w:val="00B0F0"/>
                <w:kern w:val="2"/>
                <w:szCs w:val="22"/>
              </w:rPr>
            </w:pPr>
            <w:r>
              <w:rPr>
                <w:rFonts w:hint="eastAsia" w:ascii="宋体" w:hAnsi="宋体"/>
                <w:b/>
                <w:color w:val="00B0F0"/>
                <w:kern w:val="2"/>
                <w:szCs w:val="22"/>
              </w:rPr>
              <w:t>3</w:t>
            </w:r>
          </w:p>
        </w:tc>
        <w:tc>
          <w:tcPr>
            <w:tcW w:w="4218" w:type="dxa"/>
            <w:vAlign w:val="center"/>
          </w:tcPr>
          <w:p>
            <w:pPr>
              <w:pStyle w:val="129"/>
              <w:jc w:val="center"/>
              <w:rPr>
                <w:rFonts w:ascii="宋体" w:hAnsi="宋体"/>
                <w:b/>
                <w:color w:val="00B0F0"/>
                <w:kern w:val="2"/>
                <w:szCs w:val="22"/>
              </w:rPr>
            </w:pPr>
            <w:r>
              <w:rPr>
                <w:rFonts w:hint="eastAsia" w:ascii="宋体" w:hAnsi="宋体"/>
                <w:b/>
                <w:color w:val="00B0F0"/>
                <w:kern w:val="2"/>
                <w:szCs w:val="22"/>
              </w:rPr>
              <w:t>移动护理设备</w:t>
            </w:r>
          </w:p>
        </w:tc>
        <w:tc>
          <w:tcPr>
            <w:tcW w:w="1843" w:type="dxa"/>
            <w:vAlign w:val="center"/>
          </w:tcPr>
          <w:p>
            <w:pPr>
              <w:pStyle w:val="129"/>
              <w:jc w:val="center"/>
              <w:rPr>
                <w:rFonts w:ascii="宋体" w:hAnsi="宋体"/>
                <w:b/>
                <w:color w:val="00B0F0"/>
                <w:kern w:val="2"/>
                <w:szCs w:val="22"/>
              </w:rPr>
            </w:pPr>
            <w:r>
              <w:rPr>
                <w:rFonts w:ascii="宋体" w:hAnsi="宋体"/>
                <w:b/>
                <w:color w:val="00B0F0"/>
                <w:kern w:val="2"/>
                <w:szCs w:val="22"/>
              </w:rPr>
              <w:t>1</w:t>
            </w:r>
            <w:r>
              <w:rPr>
                <w:rFonts w:hint="eastAsia" w:ascii="宋体" w:hAnsi="宋体"/>
                <w:b/>
                <w:color w:val="00B0F0"/>
                <w:kern w:val="2"/>
                <w:szCs w:val="22"/>
              </w:rPr>
              <w:t>批</w:t>
            </w:r>
          </w:p>
        </w:tc>
        <w:tc>
          <w:tcPr>
            <w:tcW w:w="1843" w:type="dxa"/>
            <w:vAlign w:val="center"/>
          </w:tcPr>
          <w:p>
            <w:pPr>
              <w:pStyle w:val="129"/>
              <w:jc w:val="center"/>
              <w:rPr>
                <w:rFonts w:hint="default" w:ascii="宋体" w:hAnsi="宋体" w:eastAsia="宋体"/>
                <w:b/>
                <w:color w:val="00B0F0"/>
                <w:kern w:val="2"/>
                <w:szCs w:val="22"/>
                <w:lang w:val="en-US" w:eastAsia="zh-CN"/>
              </w:rPr>
            </w:pPr>
            <w:r>
              <w:rPr>
                <w:rFonts w:hint="eastAsia" w:ascii="宋体" w:hAnsi="宋体"/>
                <w:b/>
                <w:color w:val="00B0F0"/>
                <w:kern w:val="2"/>
                <w:szCs w:val="22"/>
                <w:lang w:val="en-US" w:eastAsia="zh-CN"/>
              </w:rPr>
              <w:t>明细中有单价</w:t>
            </w:r>
          </w:p>
        </w:tc>
      </w:tr>
    </w:tbl>
    <w:p>
      <w:pPr>
        <w:pStyle w:val="4"/>
        <w:numPr>
          <w:ilvl w:val="0"/>
          <w:numId w:val="1"/>
        </w:numPr>
        <w:rPr>
          <w:b/>
          <w:bCs/>
          <w:sz w:val="30"/>
          <w:szCs w:val="30"/>
        </w:rPr>
      </w:pPr>
      <w:r>
        <w:rPr>
          <w:rFonts w:hint="eastAsia"/>
          <w:b/>
          <w:bCs/>
          <w:sz w:val="30"/>
          <w:szCs w:val="30"/>
        </w:rPr>
        <w:t>投标人资格条件：</w:t>
      </w:r>
    </w:p>
    <w:p>
      <w:pPr>
        <w:numPr>
          <w:ilvl w:val="0"/>
          <w:numId w:val="2"/>
        </w:numPr>
        <w:spacing w:line="360" w:lineRule="auto"/>
        <w:rPr>
          <w:rFonts w:ascii="宋体" w:hAnsi="宋体"/>
          <w:sz w:val="24"/>
        </w:rPr>
      </w:pPr>
      <w:r>
        <w:rPr>
          <w:rFonts w:hint="eastAsia" w:ascii="宋体" w:hAnsi="宋体"/>
          <w:sz w:val="24"/>
        </w:rPr>
        <w:t>具有有效的营业执照、组织机构代码和税务登记证或新版三证合一营业执照,投标人必须参与制定或编写相关行业标准，如电子病历评级、互联互通评级、智慧医院评级或者</w:t>
      </w:r>
      <w:r>
        <w:rPr>
          <w:rFonts w:hint="eastAsia" w:ascii="宋体" w:hAnsi="宋体" w:cs="宋体"/>
          <w:sz w:val="24"/>
        </w:rPr>
        <w:t>《医院信息平台应用功能指引》，满足上述中任意一项即可，以正式发文中明确为依据，不能提供依据者不满足投标条件</w:t>
      </w:r>
      <w:r>
        <w:rPr>
          <w:rFonts w:hint="eastAsia" w:ascii="宋体" w:hAnsi="宋体"/>
          <w:sz w:val="24"/>
        </w:rPr>
        <w:t>；</w:t>
      </w:r>
    </w:p>
    <w:p>
      <w:pPr>
        <w:numPr>
          <w:ilvl w:val="0"/>
          <w:numId w:val="2"/>
        </w:numPr>
        <w:spacing w:line="360" w:lineRule="auto"/>
        <w:rPr>
          <w:rFonts w:ascii="宋体" w:hAnsi="宋体"/>
          <w:sz w:val="24"/>
        </w:rPr>
      </w:pPr>
      <w:r>
        <w:rPr>
          <w:rFonts w:hint="eastAsia" w:ascii="宋体" w:hAnsi="宋体"/>
          <w:sz w:val="24"/>
        </w:rPr>
        <w:t>本项目不接受联合投标。</w:t>
      </w:r>
    </w:p>
    <w:p>
      <w:pPr>
        <w:numPr>
          <w:ilvl w:val="0"/>
          <w:numId w:val="2"/>
        </w:numPr>
        <w:spacing w:line="360" w:lineRule="auto"/>
        <w:rPr>
          <w:rFonts w:ascii="宋体" w:hAnsi="宋体"/>
          <w:sz w:val="24"/>
        </w:rPr>
      </w:pPr>
      <w:r>
        <w:rPr>
          <w:rFonts w:hint="eastAsia" w:ascii="宋体" w:hAnsi="宋体"/>
          <w:sz w:val="24"/>
        </w:rPr>
        <w:t>近四年内（2016年1月1日至今）在经营活动中没有重大违法记录，须提供书面承诺。</w:t>
      </w:r>
    </w:p>
    <w:p>
      <w:pPr>
        <w:numPr>
          <w:ilvl w:val="0"/>
          <w:numId w:val="2"/>
        </w:numPr>
        <w:spacing w:line="360" w:lineRule="auto"/>
        <w:rPr>
          <w:rFonts w:ascii="宋体" w:hAnsi="宋体"/>
          <w:sz w:val="24"/>
        </w:rPr>
      </w:pPr>
      <w:r>
        <w:rPr>
          <w:rFonts w:hint="eastAsia" w:ascii="宋体" w:hAnsi="宋体"/>
          <w:sz w:val="24"/>
        </w:rPr>
        <w:t>投标人具有本地化服务能力</w:t>
      </w:r>
    </w:p>
    <w:p>
      <w:pPr>
        <w:spacing w:line="500" w:lineRule="exact"/>
        <w:ind w:firstLine="480" w:firstLineChars="200"/>
        <w:rPr>
          <w:rFonts w:ascii="宋体" w:hAnsi="宋体"/>
          <w:color w:val="000000"/>
          <w:sz w:val="24"/>
        </w:rPr>
      </w:pPr>
      <w:r>
        <w:rPr>
          <w:rFonts w:hint="eastAsia" w:ascii="宋体" w:hAnsi="宋体"/>
          <w:color w:val="000000"/>
          <w:sz w:val="24"/>
        </w:rPr>
        <w:t>本地化服务的能力是指具有以下条件之一：</w:t>
      </w:r>
    </w:p>
    <w:p>
      <w:pPr>
        <w:numPr>
          <w:ilvl w:val="0"/>
          <w:numId w:val="3"/>
        </w:numPr>
        <w:spacing w:line="500" w:lineRule="exact"/>
        <w:rPr>
          <w:rFonts w:ascii="宋体" w:hAnsi="宋体"/>
          <w:color w:val="000000"/>
          <w:sz w:val="24"/>
        </w:rPr>
      </w:pPr>
      <w:r>
        <w:rPr>
          <w:rFonts w:hint="eastAsia" w:ascii="宋体" w:hAnsi="宋体"/>
          <w:color w:val="000000"/>
          <w:sz w:val="24"/>
        </w:rPr>
        <w:t>在本地具有固定的办公场所及人员；</w:t>
      </w:r>
    </w:p>
    <w:p>
      <w:pPr>
        <w:numPr>
          <w:ilvl w:val="0"/>
          <w:numId w:val="3"/>
        </w:numPr>
        <w:spacing w:line="500" w:lineRule="exact"/>
        <w:rPr>
          <w:rFonts w:ascii="宋体" w:hAnsi="宋体"/>
          <w:color w:val="000000"/>
          <w:sz w:val="24"/>
        </w:rPr>
      </w:pPr>
      <w:r>
        <w:rPr>
          <w:rFonts w:hint="eastAsia" w:ascii="宋体" w:hAnsi="宋体"/>
          <w:color w:val="000000"/>
          <w:sz w:val="24"/>
        </w:rPr>
        <w:t>在本地注册成立的；</w:t>
      </w:r>
    </w:p>
    <w:p>
      <w:pPr>
        <w:spacing w:line="360" w:lineRule="auto"/>
        <w:ind w:firstLine="480" w:firstLineChars="200"/>
        <w:rPr>
          <w:rFonts w:ascii="宋体" w:hAnsi="宋体"/>
          <w:color w:val="000000"/>
          <w:sz w:val="24"/>
        </w:rPr>
      </w:pPr>
      <w:r>
        <w:rPr>
          <w:rFonts w:hint="eastAsia" w:ascii="宋体" w:hAnsi="宋体"/>
          <w:color w:val="000000"/>
          <w:sz w:val="24"/>
        </w:rPr>
        <w:t>备注：“本地”系指：合肥市</w:t>
      </w:r>
    </w:p>
    <w:p>
      <w:pPr>
        <w:numPr>
          <w:ilvl w:val="0"/>
          <w:numId w:val="3"/>
        </w:numPr>
        <w:spacing w:line="500" w:lineRule="exact"/>
        <w:rPr>
          <w:rFonts w:ascii="宋体" w:hAnsi="宋体"/>
          <w:color w:val="000000"/>
          <w:sz w:val="24"/>
        </w:rPr>
      </w:pPr>
      <w:r>
        <w:rPr>
          <w:rFonts w:hint="eastAsia" w:ascii="宋体" w:hAnsi="宋体"/>
          <w:color w:val="000000"/>
          <w:sz w:val="24"/>
        </w:rPr>
        <w:t>提供承诺函</w:t>
      </w:r>
      <w:r>
        <w:rPr>
          <w:rFonts w:hint="eastAsia" w:ascii="宋体" w:hAnsi="宋体"/>
          <w:color w:val="000000"/>
          <w:sz w:val="24"/>
          <w:lang w:eastAsia="zh-CN"/>
        </w:rPr>
        <w:t>，</w:t>
      </w:r>
      <w:r>
        <w:rPr>
          <w:rFonts w:hint="eastAsia" w:ascii="宋体" w:hAnsi="宋体"/>
          <w:color w:val="000000"/>
          <w:sz w:val="24"/>
        </w:rPr>
        <w:t>承诺中标即设立本地化服务机构；</w:t>
      </w:r>
    </w:p>
    <w:p>
      <w:pPr>
        <w:pStyle w:val="4"/>
        <w:numPr>
          <w:ilvl w:val="0"/>
          <w:numId w:val="1"/>
        </w:numPr>
        <w:rPr>
          <w:b/>
          <w:bCs/>
          <w:sz w:val="30"/>
          <w:szCs w:val="30"/>
        </w:rPr>
      </w:pPr>
      <w:r>
        <w:rPr>
          <w:rFonts w:hint="eastAsia"/>
          <w:b/>
          <w:bCs/>
          <w:sz w:val="30"/>
          <w:szCs w:val="30"/>
        </w:rPr>
        <w:t>总体要求</w:t>
      </w:r>
      <w:bookmarkEnd w:id="0"/>
    </w:p>
    <w:p/>
    <w:p>
      <w:pPr>
        <w:numPr>
          <w:ilvl w:val="0"/>
          <w:numId w:val="4"/>
        </w:numPr>
        <w:spacing w:line="360" w:lineRule="auto"/>
        <w:rPr>
          <w:rFonts w:ascii="宋体" w:hAnsi="宋体" w:cs="宋体"/>
          <w:sz w:val="24"/>
        </w:rPr>
      </w:pPr>
      <w:r>
        <w:rPr>
          <w:rFonts w:hint="eastAsia" w:ascii="宋体" w:hAnsi="宋体" w:cs="宋体"/>
          <w:sz w:val="24"/>
        </w:rPr>
        <w:t>支持大用户量并发访问，包括大并发下的缓存技术，支持新的互联网技术。</w:t>
      </w:r>
    </w:p>
    <w:p>
      <w:pPr>
        <w:numPr>
          <w:ilvl w:val="0"/>
          <w:numId w:val="4"/>
        </w:numPr>
        <w:spacing w:line="360" w:lineRule="auto"/>
        <w:rPr>
          <w:rFonts w:ascii="宋体" w:hAnsi="宋体" w:cs="宋体"/>
          <w:sz w:val="24"/>
        </w:rPr>
      </w:pPr>
      <w:r>
        <w:rPr>
          <w:rFonts w:hint="eastAsia" w:ascii="宋体" w:hAnsi="宋体" w:cs="宋体"/>
          <w:sz w:val="24"/>
        </w:rPr>
        <w:t>系统采用分级管理模式，对不同级别用户的操作权限和数据访问范围有严格的限制，系统管理员可以根据情况灵活设置安全策略。科室、员工、权限等分发需要</w:t>
      </w:r>
      <w:r>
        <w:rPr>
          <w:rFonts w:hint="eastAsia" w:ascii="宋体" w:hAnsi="宋体" w:cs="宋体"/>
          <w:kern w:val="0"/>
          <w:sz w:val="24"/>
        </w:rPr>
        <w:t>与集成平台同步，实现各系统同步调整。</w:t>
      </w:r>
    </w:p>
    <w:p>
      <w:pPr>
        <w:numPr>
          <w:ilvl w:val="0"/>
          <w:numId w:val="4"/>
        </w:numPr>
        <w:spacing w:line="360" w:lineRule="auto"/>
        <w:rPr>
          <w:rFonts w:ascii="宋体" w:hAnsi="宋体" w:cs="宋体"/>
          <w:sz w:val="24"/>
        </w:rPr>
      </w:pPr>
      <w:r>
        <w:rPr>
          <w:rFonts w:hint="eastAsia" w:ascii="宋体" w:hAnsi="宋体" w:cs="宋体"/>
          <w:sz w:val="24"/>
        </w:rPr>
        <w:t>系统级安全：定期备份、应急（支持脱机程序及相应的应急预案、支持智能客户端）及恢复、灾备解决方案。</w:t>
      </w:r>
    </w:p>
    <w:p>
      <w:pPr>
        <w:numPr>
          <w:ilvl w:val="0"/>
          <w:numId w:val="4"/>
        </w:numPr>
        <w:spacing w:line="360" w:lineRule="auto"/>
        <w:rPr>
          <w:rFonts w:ascii="宋体" w:hAnsi="宋体" w:cs="宋体"/>
          <w:sz w:val="24"/>
        </w:rPr>
      </w:pPr>
      <w:r>
        <w:rPr>
          <w:rFonts w:hint="eastAsia" w:ascii="宋体" w:hAnsi="宋体" w:cs="宋体"/>
          <w:sz w:val="24"/>
        </w:rPr>
        <w:t>技术上按照国际标准，同时符合国家标准，实现良好的跨平台能力，便于与不同系统间的数据交互。系统采用主流架构，数据库支持主流数据库，支持主流的应用服务器、集群及负载等；服务器操作系统支持主流操作系统。</w:t>
      </w:r>
    </w:p>
    <w:p>
      <w:pPr>
        <w:numPr>
          <w:ilvl w:val="0"/>
          <w:numId w:val="4"/>
        </w:numPr>
        <w:spacing w:line="360" w:lineRule="auto"/>
        <w:rPr>
          <w:rFonts w:ascii="宋体" w:hAnsi="宋体" w:cs="宋体"/>
          <w:sz w:val="24"/>
        </w:rPr>
      </w:pPr>
      <w:r>
        <w:rPr>
          <w:rFonts w:hint="eastAsia" w:ascii="宋体" w:hAnsi="宋体" w:cs="宋体"/>
          <w:sz w:val="24"/>
        </w:rPr>
        <w:t>具有很强的可拓展性，便于二次开发，可挂载第三方（包括院方）研发模块。</w:t>
      </w:r>
    </w:p>
    <w:p>
      <w:pPr>
        <w:numPr>
          <w:ilvl w:val="0"/>
          <w:numId w:val="4"/>
        </w:numPr>
        <w:spacing w:line="360" w:lineRule="auto"/>
        <w:rPr>
          <w:rFonts w:ascii="宋体" w:hAnsi="宋体" w:cs="宋体"/>
          <w:sz w:val="24"/>
        </w:rPr>
      </w:pPr>
      <w:r>
        <w:rPr>
          <w:rFonts w:hint="eastAsia" w:ascii="宋体" w:hAnsi="宋体" w:cs="宋体"/>
          <w:sz w:val="24"/>
        </w:rPr>
        <w:t>确保管理员可自行维护系统基础设置。系统升级和日常维护只需要在服务器进行即可。系统为管理员有系统设置和维护功能，包括用户和权限设置、字段维护、代码表维护、日志监控、数据批量处理、远程备份、数据同步等等。系统维护期满后，采购人有权要求投标人提供应用系统相关技术文档。开放数据库规格描述。进场后即需要实时向采购人提交包括但不限于数据结构等技术文档。</w:t>
      </w:r>
    </w:p>
    <w:p>
      <w:pPr>
        <w:numPr>
          <w:ilvl w:val="0"/>
          <w:numId w:val="4"/>
        </w:numPr>
        <w:spacing w:line="360" w:lineRule="auto"/>
        <w:rPr>
          <w:rFonts w:ascii="宋体" w:hAnsi="宋体" w:cs="宋体"/>
          <w:sz w:val="24"/>
        </w:rPr>
      </w:pPr>
      <w:r>
        <w:rPr>
          <w:rFonts w:hint="eastAsia" w:ascii="宋体" w:hAnsi="宋体" w:cs="宋体"/>
          <w:sz w:val="24"/>
        </w:rPr>
        <w:t>明确要求与线下系统融合建设、互联网医院融合建设及系统互操作的，未承诺或不满足的按无效标处理。</w:t>
      </w:r>
    </w:p>
    <w:p>
      <w:pPr>
        <w:numPr>
          <w:ilvl w:val="0"/>
          <w:numId w:val="4"/>
        </w:numPr>
        <w:spacing w:line="360" w:lineRule="auto"/>
        <w:rPr>
          <w:rFonts w:ascii="宋体" w:hAnsi="宋体" w:cs="宋体"/>
          <w:sz w:val="24"/>
        </w:rPr>
      </w:pPr>
      <w:r>
        <w:rPr>
          <w:rFonts w:hint="eastAsia" w:ascii="宋体" w:hAnsi="宋体" w:cs="宋体"/>
          <w:sz w:val="24"/>
        </w:rPr>
        <w:t>硬件质保期不得低于5年，软件质保期不得低于3年，未承诺或不满足的按无效标处理。</w:t>
      </w:r>
    </w:p>
    <w:p>
      <w:pPr>
        <w:numPr>
          <w:ilvl w:val="0"/>
          <w:numId w:val="4"/>
        </w:numPr>
        <w:spacing w:line="360" w:lineRule="auto"/>
        <w:rPr>
          <w:rFonts w:ascii="宋体" w:hAnsi="宋体" w:cs="宋体"/>
          <w:sz w:val="24"/>
        </w:rPr>
      </w:pPr>
      <w:r>
        <w:rPr>
          <w:rFonts w:hint="eastAsia" w:ascii="宋体" w:hAnsi="宋体" w:cs="宋体"/>
          <w:kern w:val="0"/>
          <w:sz w:val="24"/>
        </w:rPr>
        <w:t>★</w:t>
      </w:r>
      <w:r>
        <w:rPr>
          <w:rFonts w:hint="eastAsia" w:ascii="宋体" w:hAnsi="宋体" w:cs="宋体"/>
          <w:sz w:val="24"/>
        </w:rPr>
        <w:t>系统应与院方的HIS、LIS、PACS、集成平台等系统无缝集成，并应提供符合电子病历六级及互联互通四甲要求的数据交换接口。系统建设应当满足《医院信息平台应用功能指引》及其他由国家部委及以上级别公开发布的相关系统建设要求；应当满足安徽省和合肥市地方政策和规定的建设要求。计算年限为供应商提交验收报告之前，例如供应商提交验收报告时间为2021年3月，则需要满足在2021年3月之前发布的政策及相关要求。</w:t>
      </w:r>
    </w:p>
    <w:p>
      <w:pPr>
        <w:numPr>
          <w:ilvl w:val="0"/>
          <w:numId w:val="4"/>
        </w:numPr>
        <w:spacing w:line="360" w:lineRule="auto"/>
        <w:rPr>
          <w:rFonts w:ascii="宋体" w:hAnsi="宋体" w:cs="宋体"/>
          <w:sz w:val="24"/>
        </w:rPr>
      </w:pPr>
      <w:r>
        <w:rPr>
          <w:rFonts w:hint="eastAsia" w:ascii="宋体" w:hAnsi="宋体" w:cs="宋体"/>
          <w:kern w:val="0"/>
          <w:sz w:val="24"/>
        </w:rPr>
        <w:t>★</w:t>
      </w:r>
      <w:r>
        <w:rPr>
          <w:rFonts w:hint="eastAsia" w:ascii="宋体" w:hAnsi="宋体" w:cs="宋体"/>
          <w:sz w:val="24"/>
        </w:rPr>
        <w:t>线上应用部分中面对患者的，需要接入院方互联网医院公众服务平台；面对院内职工的，需要接入院方互联网医院医护服务平台，对接费用由中标商支付。如健康宣教、护理管理APP端等。</w:t>
      </w:r>
    </w:p>
    <w:p>
      <w:pPr>
        <w:numPr>
          <w:ilvl w:val="0"/>
          <w:numId w:val="4"/>
        </w:numPr>
        <w:spacing w:line="360" w:lineRule="auto"/>
        <w:rPr>
          <w:rFonts w:ascii="宋体" w:hAnsi="宋体" w:cs="宋体"/>
          <w:sz w:val="24"/>
        </w:rPr>
      </w:pPr>
      <w:r>
        <w:rPr>
          <w:rFonts w:hint="eastAsia" w:ascii="宋体" w:hAnsi="宋体" w:cs="宋体"/>
          <w:kern w:val="0"/>
          <w:sz w:val="24"/>
        </w:rPr>
        <w:t>★</w:t>
      </w:r>
      <w:r>
        <w:rPr>
          <w:rFonts w:hint="eastAsia" w:ascii="宋体" w:hAnsi="宋体" w:cs="宋体"/>
          <w:sz w:val="24"/>
        </w:rPr>
        <w:t>部分功能线下已经实现的，可以由供货商与线下系统供应商协商，由甲方书面批准，线下实现、线上调用，防止功能多头建设、临床多次操作；但仍然需要跟据院方实际需要在移动端完成互操作的必须按要求建设，使之形成一个完整的系统体系，相关对接费用由中标商承担。功能要求中如有前后重复项目，以要求最高者为准。</w:t>
      </w:r>
    </w:p>
    <w:p>
      <w:pPr>
        <w:numPr>
          <w:ilvl w:val="0"/>
          <w:numId w:val="4"/>
        </w:numPr>
        <w:spacing w:line="360" w:lineRule="auto"/>
        <w:rPr>
          <w:rFonts w:ascii="宋体" w:hAnsi="宋体" w:cs="宋体"/>
          <w:sz w:val="24"/>
        </w:rPr>
      </w:pPr>
      <w:r>
        <w:rPr>
          <w:rFonts w:hint="eastAsia" w:ascii="宋体" w:hAnsi="宋体" w:cs="宋体"/>
          <w:kern w:val="0"/>
          <w:sz w:val="24"/>
        </w:rPr>
        <w:t>★</w:t>
      </w:r>
      <w:r>
        <w:rPr>
          <w:rFonts w:hint="eastAsia" w:ascii="宋体" w:hAnsi="宋体" w:cs="宋体"/>
          <w:sz w:val="24"/>
        </w:rPr>
        <w:t>移动护理信息系统的投标人必须有对应产品的软件著作权证书，拥有完全自主知识产权，不可由代理商投标；护理管理系统（含护理教学培训）的投标人可以拥有完全自主知识产权，也可以获得相应产品开发企业的授权。</w:t>
      </w:r>
    </w:p>
    <w:p>
      <w:pPr>
        <w:numPr>
          <w:ilvl w:val="0"/>
          <w:numId w:val="4"/>
        </w:numPr>
        <w:spacing w:line="360" w:lineRule="auto"/>
        <w:rPr>
          <w:rFonts w:ascii="宋体" w:hAnsi="宋体" w:cs="宋体"/>
          <w:sz w:val="24"/>
        </w:rPr>
      </w:pPr>
      <w:r>
        <w:rPr>
          <w:rFonts w:hint="eastAsia" w:ascii="宋体" w:hAnsi="宋体" w:cs="宋体"/>
          <w:kern w:val="0"/>
          <w:sz w:val="24"/>
        </w:rPr>
        <w:t>★</w:t>
      </w:r>
      <w:r>
        <w:rPr>
          <w:rFonts w:hint="eastAsia" w:ascii="宋体" w:hAnsi="宋体" w:cs="宋体"/>
          <w:sz w:val="24"/>
        </w:rPr>
        <w:t>移动护理信息系统中标企业需要统筹含硬件的各模块系统建设，所选择的硬件产品应当充分满足医院建设要求，具体型号规格及详细参数在满足医院运行后，以补充协议的形式予以明确，但不得低于投标标准不得高于合同单价。</w:t>
      </w:r>
    </w:p>
    <w:p>
      <w:pPr>
        <w:pStyle w:val="4"/>
        <w:numPr>
          <w:ilvl w:val="0"/>
          <w:numId w:val="1"/>
        </w:numPr>
        <w:rPr>
          <w:b/>
          <w:bCs/>
          <w:sz w:val="30"/>
          <w:szCs w:val="30"/>
        </w:rPr>
      </w:pPr>
      <w:bookmarkStart w:id="2" w:name="_Toc18316"/>
      <w:r>
        <w:rPr>
          <w:rFonts w:hint="eastAsia"/>
          <w:b/>
          <w:bCs/>
          <w:sz w:val="30"/>
          <w:szCs w:val="30"/>
        </w:rPr>
        <w:t>移动护理信息系统性能要求</w:t>
      </w:r>
      <w:bookmarkEnd w:id="2"/>
    </w:p>
    <w:p>
      <w:pPr>
        <w:spacing w:line="360" w:lineRule="auto"/>
        <w:ind w:firstLine="480" w:firstLineChars="200"/>
        <w:rPr>
          <w:rFonts w:ascii="宋体" w:hAnsi="宋体" w:cs="宋体"/>
          <w:sz w:val="24"/>
        </w:rPr>
      </w:pPr>
      <w:r>
        <w:rPr>
          <w:rFonts w:hint="eastAsia" w:ascii="宋体" w:hAnsi="宋体" w:cs="宋体"/>
          <w:sz w:val="24"/>
        </w:rPr>
        <w:t xml:space="preserve">1、系统应遵循《医院信息系统基本功能规范》、《电子病历基本规范》、《电子病历系统功能规范（试行）》等信息化建设规范或者指导意见以及国家有关护理规章制度。系统需满足卫健委对三级医院优质护理服务的评审要求。 </w:t>
      </w:r>
    </w:p>
    <w:tbl>
      <w:tblPr>
        <w:tblStyle w:val="47"/>
        <w:tblW w:w="9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831"/>
        <w:gridCol w:w="1906"/>
        <w:gridCol w:w="6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widowControl/>
              <w:jc w:val="center"/>
              <w:rPr>
                <w:rFonts w:ascii="宋体" w:hAnsi="宋体" w:cs="宋体"/>
                <w:b/>
                <w:bCs/>
                <w:kern w:val="0"/>
                <w:sz w:val="24"/>
              </w:rPr>
            </w:pPr>
            <w:r>
              <w:rPr>
                <w:rFonts w:hint="eastAsia" w:ascii="宋体" w:hAnsi="宋体" w:cs="宋体"/>
                <w:b/>
                <w:bCs/>
                <w:kern w:val="0"/>
                <w:sz w:val="24"/>
              </w:rPr>
              <w:t>功能分类</w:t>
            </w:r>
          </w:p>
        </w:tc>
        <w:tc>
          <w:tcPr>
            <w:tcW w:w="2737" w:type="dxa"/>
            <w:gridSpan w:val="2"/>
            <w:vAlign w:val="center"/>
          </w:tcPr>
          <w:p>
            <w:pPr>
              <w:widowControl/>
              <w:jc w:val="center"/>
              <w:rPr>
                <w:rFonts w:ascii="宋体" w:hAnsi="宋体" w:cs="宋体"/>
                <w:b/>
                <w:bCs/>
                <w:kern w:val="0"/>
                <w:sz w:val="24"/>
              </w:rPr>
            </w:pPr>
            <w:r>
              <w:rPr>
                <w:rFonts w:hint="eastAsia" w:ascii="宋体" w:hAnsi="宋体" w:cs="宋体"/>
                <w:b/>
                <w:bCs/>
                <w:kern w:val="0"/>
                <w:sz w:val="24"/>
              </w:rPr>
              <w:t>功能模块</w:t>
            </w:r>
          </w:p>
        </w:tc>
        <w:tc>
          <w:tcPr>
            <w:tcW w:w="6455" w:type="dxa"/>
            <w:vAlign w:val="center"/>
          </w:tcPr>
          <w:p>
            <w:pPr>
              <w:widowControl/>
              <w:jc w:val="center"/>
              <w:rPr>
                <w:rFonts w:ascii="宋体" w:hAnsi="宋体" w:cs="宋体"/>
                <w:b/>
                <w:bCs/>
                <w:kern w:val="0"/>
                <w:sz w:val="24"/>
              </w:rPr>
            </w:pPr>
            <w:r>
              <w:rPr>
                <w:rFonts w:hint="eastAsia" w:ascii="宋体" w:hAnsi="宋体" w:cs="宋体"/>
                <w:b/>
                <w:bCs/>
                <w:kern w:val="0"/>
                <w:sz w:val="24"/>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restart"/>
            <w:vAlign w:val="center"/>
          </w:tcPr>
          <w:p>
            <w:pPr>
              <w:widowControl/>
              <w:jc w:val="center"/>
              <w:rPr>
                <w:rFonts w:ascii="宋体" w:hAnsi="宋体" w:cs="宋体"/>
                <w:kern w:val="0"/>
                <w:sz w:val="24"/>
              </w:rPr>
            </w:pPr>
            <w:r>
              <w:rPr>
                <w:rFonts w:hint="eastAsia" w:ascii="宋体" w:hAnsi="宋体" w:cs="宋体"/>
                <w:kern w:val="0"/>
                <w:sz w:val="24"/>
              </w:rPr>
              <w:t>系统管理</w:t>
            </w:r>
          </w:p>
        </w:tc>
        <w:tc>
          <w:tcPr>
            <w:tcW w:w="831" w:type="dxa"/>
            <w:vMerge w:val="restart"/>
            <w:vAlign w:val="center"/>
          </w:tcPr>
          <w:p>
            <w:pPr>
              <w:widowControl/>
              <w:jc w:val="center"/>
              <w:rPr>
                <w:rFonts w:ascii="宋体" w:hAnsi="宋体" w:cs="宋体"/>
                <w:kern w:val="0"/>
                <w:sz w:val="24"/>
              </w:rPr>
            </w:pPr>
            <w:r>
              <w:rPr>
                <w:rFonts w:hint="eastAsia" w:ascii="宋体" w:hAnsi="宋体" w:cs="宋体"/>
                <w:kern w:val="0"/>
                <w:sz w:val="24"/>
              </w:rPr>
              <w:t>系统设置</w:t>
            </w:r>
          </w:p>
          <w:p>
            <w:pPr>
              <w:widowControl/>
              <w:jc w:val="center"/>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用户账户管理</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支持同步H</w:t>
            </w:r>
            <w:r>
              <w:rPr>
                <w:rFonts w:ascii="宋体" w:hAnsi="宋体" w:cs="宋体"/>
                <w:kern w:val="0"/>
                <w:sz w:val="24"/>
              </w:rPr>
              <w:t>IS用户账户，支持系统创建用户账户</w:t>
            </w:r>
            <w:r>
              <w:rPr>
                <w:rFonts w:hint="eastAsia" w:ascii="宋体" w:hAnsi="宋体" w:cs="宋体"/>
                <w:kern w:val="0"/>
                <w:sz w:val="24"/>
              </w:rPr>
              <w:t>；支持系统密码强度校验、密码有效期管理、密码输入阈值的控制。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用户权限管理</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系统操作用户权限分配管理，根据不同的用户角色可设置不同的权限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科室病区管理</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支持同步H</w:t>
            </w:r>
            <w:r>
              <w:rPr>
                <w:rFonts w:ascii="宋体" w:hAnsi="宋体" w:cs="宋体"/>
                <w:kern w:val="0"/>
                <w:sz w:val="24"/>
              </w:rPr>
              <w:t>IS科室信息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功能菜单配置</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用户可通过配置来调整功能菜单显示的位置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知识库配置</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提供护理文书、健康宣教的知识库配置功能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功能快捷入口设置</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用户可设置2-3个常用功能，放置在快捷入口，以便快速操作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center"/>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时间同步</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用户登录时，客户端自动同步服务器时间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pPr>
              <w:widowControl/>
              <w:jc w:val="left"/>
              <w:rPr>
                <w:rFonts w:ascii="宋体" w:hAnsi="宋体" w:cs="宋体"/>
                <w:kern w:val="0"/>
                <w:sz w:val="24"/>
              </w:rPr>
            </w:pPr>
          </w:p>
        </w:tc>
        <w:tc>
          <w:tcPr>
            <w:tcW w:w="831" w:type="dxa"/>
            <w:vMerge w:val="restart"/>
            <w:vAlign w:val="center"/>
          </w:tcPr>
          <w:p>
            <w:pPr>
              <w:widowControl/>
              <w:jc w:val="center"/>
              <w:rPr>
                <w:rFonts w:ascii="宋体" w:hAnsi="宋体" w:cs="宋体"/>
                <w:kern w:val="0"/>
                <w:sz w:val="24"/>
              </w:rPr>
            </w:pPr>
            <w:r>
              <w:rPr>
                <w:rFonts w:hint="eastAsia" w:ascii="宋体" w:hAnsi="宋体" w:cs="宋体"/>
                <w:kern w:val="0"/>
                <w:sz w:val="24"/>
              </w:rPr>
              <w:t>辅助功能</w:t>
            </w:r>
          </w:p>
        </w:tc>
        <w:tc>
          <w:tcPr>
            <w:tcW w:w="1906" w:type="dxa"/>
            <w:vAlign w:val="center"/>
          </w:tcPr>
          <w:p>
            <w:pPr>
              <w:widowControl/>
              <w:jc w:val="left"/>
              <w:rPr>
                <w:rFonts w:ascii="宋体" w:hAnsi="宋体" w:cs="宋体"/>
                <w:kern w:val="0"/>
                <w:sz w:val="24"/>
              </w:rPr>
            </w:pPr>
            <w:r>
              <w:rPr>
                <w:rFonts w:hint="eastAsia" w:ascii="宋体" w:hAnsi="宋体" w:cs="宋体"/>
                <w:kern w:val="0"/>
                <w:sz w:val="24"/>
              </w:rPr>
              <w:t>离线数据缓存</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▲当无线网络信号较差时，支持无线护理设备将体征、文书（非关联文书）数据缓存至本地，离线完成护理相关业务，待网络恢复时及时上传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异常操作记录</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记录用户使用系统过程中的异常操作，如：医嘱执行过程中，选错了执行对象，系统会记录下来，并提供报表导出功能。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系统升级提醒</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系统版本升级后，对于已经打开在用的客户端进行提醒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通知功能</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可在系统内发布通知，程序进行弹窗式提醒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提醒管理</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PC客户端上维护好相应的提醒事件及时间，用户在无线护理设备上选择相应提醒事件，当无线护理设备到达预设的时间点后能够通过消息等方式提醒用户。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屏幕锁定功能</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超过一定时间未操作，客户端退出到登陆界面或者锁屏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widowControl/>
              <w:jc w:val="left"/>
              <w:rPr>
                <w:rFonts w:ascii="宋体" w:hAnsi="宋体" w:cs="宋体"/>
                <w:kern w:val="0"/>
                <w:sz w:val="24"/>
              </w:rPr>
            </w:pPr>
          </w:p>
        </w:tc>
        <w:tc>
          <w:tcPr>
            <w:tcW w:w="831" w:type="dxa"/>
            <w:vAlign w:val="center"/>
          </w:tcPr>
          <w:p>
            <w:pPr>
              <w:widowControl/>
              <w:jc w:val="left"/>
              <w:rPr>
                <w:rFonts w:ascii="宋体" w:hAnsi="宋体" w:cs="宋体"/>
                <w:kern w:val="0"/>
                <w:sz w:val="24"/>
              </w:rPr>
            </w:pPr>
          </w:p>
        </w:tc>
        <w:tc>
          <w:tcPr>
            <w:tcW w:w="1906" w:type="dxa"/>
            <w:vAlign w:val="center"/>
          </w:tcPr>
          <w:p>
            <w:pPr>
              <w:widowControl/>
              <w:jc w:val="left"/>
              <w:rPr>
                <w:rFonts w:hint="eastAsia" w:ascii="宋体" w:hAnsi="宋体" w:cs="宋体"/>
                <w:kern w:val="0"/>
                <w:sz w:val="24"/>
                <w:highlight w:val="none"/>
              </w:rPr>
            </w:pPr>
            <w:r>
              <w:rPr>
                <w:rFonts w:hint="eastAsia" w:ascii="宋体" w:hAnsi="宋体" w:cs="宋体"/>
                <w:kern w:val="0"/>
                <w:sz w:val="24"/>
                <w:highlight w:val="none"/>
              </w:rPr>
              <w:t>用户登录</w:t>
            </w:r>
          </w:p>
        </w:tc>
        <w:tc>
          <w:tcPr>
            <w:tcW w:w="6455" w:type="dxa"/>
            <w:vAlign w:val="center"/>
          </w:tcPr>
          <w:p>
            <w:pPr>
              <w:widowControl/>
              <w:jc w:val="left"/>
              <w:rPr>
                <w:rFonts w:hint="eastAsia" w:ascii="宋体" w:hAnsi="宋体" w:eastAsia="宋体" w:cs="宋体"/>
                <w:kern w:val="0"/>
                <w:sz w:val="24"/>
                <w:highlight w:val="none"/>
                <w:lang w:val="en-US" w:eastAsia="zh-CN"/>
              </w:rPr>
            </w:pPr>
            <w:r>
              <w:rPr>
                <w:rFonts w:hint="eastAsia" w:ascii="宋体" w:hAnsi="宋体" w:cs="宋体"/>
                <w:kern w:val="0"/>
                <w:sz w:val="24"/>
                <w:highlight w:val="none"/>
              </w:rPr>
              <w:t>支持用户扫描码登录,一人一码</w:t>
            </w:r>
            <w:r>
              <w:rPr>
                <w:rFonts w:hint="eastAsia" w:ascii="宋体" w:hAnsi="宋体" w:cs="宋体"/>
                <w:kern w:val="0"/>
                <w:sz w:val="24"/>
                <w:highlight w:val="none"/>
                <w:lang w:eastAsia="zh-CN"/>
              </w:rPr>
              <w:t>或支持读职工</w:t>
            </w:r>
            <w:bookmarkStart w:id="6" w:name="_GoBack"/>
            <w:bookmarkEnd w:id="6"/>
            <w:r>
              <w:rPr>
                <w:rFonts w:hint="eastAsia" w:ascii="宋体" w:hAnsi="宋体" w:cs="宋体"/>
                <w:kern w:val="0"/>
                <w:sz w:val="24"/>
                <w:highlight w:val="none"/>
                <w:lang w:eastAsia="zh-CN"/>
              </w:rPr>
              <w:t>卡</w:t>
            </w:r>
          </w:p>
        </w:tc>
      </w:tr>
    </w:tbl>
    <w:tbl>
      <w:tblPr>
        <w:tblStyle w:val="47"/>
        <w:tblpPr w:leftFromText="180" w:rightFromText="180" w:vertAnchor="text" w:horzAnchor="page" w:tblpX="1322" w:tblpY="672"/>
        <w:tblOverlap w:val="never"/>
        <w:tblW w:w="10075" w:type="dxa"/>
        <w:tblInd w:w="0" w:type="dxa"/>
        <w:tblLayout w:type="fixed"/>
        <w:tblCellMar>
          <w:top w:w="0" w:type="dxa"/>
          <w:left w:w="108" w:type="dxa"/>
          <w:bottom w:w="0" w:type="dxa"/>
          <w:right w:w="108" w:type="dxa"/>
        </w:tblCellMar>
      </w:tblPr>
      <w:tblGrid>
        <w:gridCol w:w="790"/>
        <w:gridCol w:w="1455"/>
        <w:gridCol w:w="1200"/>
        <w:gridCol w:w="6630"/>
      </w:tblGrid>
      <w:tr>
        <w:tblPrEx>
          <w:tblCellMar>
            <w:top w:w="0" w:type="dxa"/>
            <w:left w:w="108" w:type="dxa"/>
            <w:bottom w:w="0" w:type="dxa"/>
            <w:right w:w="108" w:type="dxa"/>
          </w:tblCellMar>
        </w:tblPrEx>
        <w:trPr>
          <w:trHeight w:val="675" w:hRule="atLeast"/>
        </w:trPr>
        <w:tc>
          <w:tcPr>
            <w:tcW w:w="790"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患者</w:t>
            </w:r>
          </w:p>
          <w:p>
            <w:pPr>
              <w:widowControl/>
              <w:jc w:val="left"/>
              <w:rPr>
                <w:rFonts w:ascii="宋体" w:hAnsi="宋体" w:cs="宋体"/>
                <w:kern w:val="0"/>
                <w:sz w:val="24"/>
              </w:rPr>
            </w:pPr>
            <w:r>
              <w:rPr>
                <w:rFonts w:hint="eastAsia" w:ascii="宋体" w:hAnsi="宋体" w:cs="宋体"/>
                <w:kern w:val="0"/>
                <w:sz w:val="24"/>
              </w:rPr>
              <w:t>基本信息管理</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打印管理</w:t>
            </w:r>
          </w:p>
          <w:p>
            <w:pPr>
              <w:widowControl/>
              <w:jc w:val="left"/>
              <w:rPr>
                <w:rFonts w:ascii="宋体" w:hAnsi="宋体" w:cs="宋体"/>
                <w:kern w:val="0"/>
                <w:sz w:val="24"/>
              </w:rPr>
            </w:pPr>
            <w:r>
              <w:rPr>
                <w:rFonts w:hint="eastAsia" w:ascii="宋体" w:hAnsi="宋体" w:cs="宋体"/>
                <w:kern w:val="0"/>
                <w:sz w:val="24"/>
              </w:rPr>
              <w:t>（可结合PC端实现也可独立实现）</w:t>
            </w:r>
          </w:p>
        </w:tc>
        <w:tc>
          <w:tcPr>
            <w:tcW w:w="120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床头卡打印</w:t>
            </w:r>
          </w:p>
        </w:tc>
        <w:tc>
          <w:tcPr>
            <w:tcW w:w="66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支持在护士站打印病人床头卡，包括患者姓名、性别、年龄、科室等信息，显示信息可配置</w:t>
            </w:r>
          </w:p>
        </w:tc>
      </w:tr>
      <w:tr>
        <w:tblPrEx>
          <w:tblCellMar>
            <w:top w:w="0" w:type="dxa"/>
            <w:left w:w="108" w:type="dxa"/>
            <w:bottom w:w="0" w:type="dxa"/>
            <w:right w:w="108" w:type="dxa"/>
          </w:tblCellMar>
        </w:tblPrEx>
        <w:trPr>
          <w:trHeight w:val="605" w:hRule="atLeast"/>
        </w:trPr>
        <w:tc>
          <w:tcPr>
            <w:tcW w:w="79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4"/>
                <w:lang w:eastAsia="zh-CN"/>
              </w:rPr>
            </w:pPr>
            <w:r>
              <w:rPr>
                <w:rFonts w:hint="eastAsia" w:ascii="宋体" w:hAnsi="宋体" w:cs="宋体"/>
                <w:kern w:val="0"/>
                <w:sz w:val="24"/>
              </w:rPr>
              <w:t>床头卡打印功能，包括患者姓名、性别、年龄、科室等信息，显示信息可配置</w:t>
            </w:r>
            <w:r>
              <w:rPr>
                <w:rFonts w:hint="eastAsia" w:ascii="宋体" w:hAnsi="宋体" w:cs="宋体"/>
                <w:kern w:val="0"/>
                <w:sz w:val="24"/>
                <w:highlight w:val="none"/>
                <w:lang w:eastAsia="zh-CN"/>
              </w:rPr>
              <w:t>，</w:t>
            </w:r>
            <w:r>
              <w:rPr>
                <w:rFonts w:hint="eastAsia" w:ascii="宋体" w:hAnsi="宋体" w:cs="宋体"/>
                <w:kern w:val="0"/>
                <w:sz w:val="24"/>
                <w:highlight w:val="none"/>
              </w:rPr>
              <w:t>床头卡样式根据医院需求定制</w:t>
            </w:r>
          </w:p>
        </w:tc>
      </w:tr>
      <w:tr>
        <w:tblPrEx>
          <w:tblCellMar>
            <w:top w:w="0" w:type="dxa"/>
            <w:left w:w="108" w:type="dxa"/>
            <w:bottom w:w="0" w:type="dxa"/>
            <w:right w:w="108" w:type="dxa"/>
          </w:tblCellMar>
        </w:tblPrEx>
        <w:trPr>
          <w:trHeight w:val="695" w:hRule="atLeast"/>
        </w:trPr>
        <w:tc>
          <w:tcPr>
            <w:tcW w:w="79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支持床头卡的批量打印，支持病人住院号以及床号的筛选，迅速定位到单个病人</w:t>
            </w:r>
          </w:p>
        </w:tc>
      </w:tr>
      <w:tr>
        <w:tblPrEx>
          <w:tblCellMar>
            <w:top w:w="0" w:type="dxa"/>
            <w:left w:w="108" w:type="dxa"/>
            <w:bottom w:w="0" w:type="dxa"/>
            <w:right w:w="108" w:type="dxa"/>
          </w:tblCellMar>
        </w:tblPrEx>
        <w:trPr>
          <w:trHeight w:val="449" w:hRule="atLeast"/>
        </w:trPr>
        <w:tc>
          <w:tcPr>
            <w:tcW w:w="79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0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腕带打印</w:t>
            </w:r>
          </w:p>
        </w:tc>
        <w:tc>
          <w:tcPr>
            <w:tcW w:w="66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支持出入院处全院打印和病区护士站打印两种模式</w:t>
            </w:r>
          </w:p>
        </w:tc>
      </w:tr>
      <w:tr>
        <w:tblPrEx>
          <w:tblCellMar>
            <w:top w:w="0" w:type="dxa"/>
            <w:left w:w="108" w:type="dxa"/>
            <w:bottom w:w="0" w:type="dxa"/>
            <w:right w:w="108" w:type="dxa"/>
          </w:tblCellMar>
        </w:tblPrEx>
        <w:trPr>
          <w:trHeight w:val="389" w:hRule="atLeast"/>
        </w:trPr>
        <w:tc>
          <w:tcPr>
            <w:tcW w:w="79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支持在护士站打印佩戴于住院病人手腕上的腕带，显示样式信息可配置</w:t>
            </w:r>
          </w:p>
        </w:tc>
      </w:tr>
      <w:tr>
        <w:tblPrEx>
          <w:tblCellMar>
            <w:top w:w="0" w:type="dxa"/>
            <w:left w:w="108" w:type="dxa"/>
            <w:bottom w:w="0" w:type="dxa"/>
            <w:right w:w="108" w:type="dxa"/>
          </w:tblCellMar>
        </w:tblPrEx>
        <w:trPr>
          <w:trHeight w:val="936" w:hRule="atLeast"/>
        </w:trPr>
        <w:tc>
          <w:tcPr>
            <w:tcW w:w="79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腕带须包含带有病人信息的条码，腕带并显示患者姓名、性别、年龄、科室、住院号等信息。并可以和临床LIS标本采集、医嘱执行、手术相关处理等功能结合使用</w:t>
            </w:r>
          </w:p>
        </w:tc>
      </w:tr>
      <w:tr>
        <w:tblPrEx>
          <w:tblCellMar>
            <w:top w:w="0" w:type="dxa"/>
            <w:left w:w="108" w:type="dxa"/>
            <w:bottom w:w="0" w:type="dxa"/>
            <w:right w:w="108" w:type="dxa"/>
          </w:tblCellMar>
        </w:tblPrEx>
        <w:trPr>
          <w:trHeight w:val="624" w:hRule="atLeast"/>
        </w:trPr>
        <w:tc>
          <w:tcPr>
            <w:tcW w:w="79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支持腕带丢失后的重新打印申请，并为病人打印新的腕带（包含带有病人信息的条码）</w:t>
            </w:r>
          </w:p>
        </w:tc>
      </w:tr>
      <w:tr>
        <w:tblPrEx>
          <w:tblCellMar>
            <w:top w:w="0" w:type="dxa"/>
            <w:left w:w="108" w:type="dxa"/>
            <w:bottom w:w="0" w:type="dxa"/>
            <w:right w:w="108" w:type="dxa"/>
          </w:tblCellMar>
        </w:tblPrEx>
        <w:trPr>
          <w:trHeight w:val="624" w:hRule="atLeast"/>
        </w:trPr>
        <w:tc>
          <w:tcPr>
            <w:tcW w:w="79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腕带打印样式可配置的同时也可根据病区配置，满足某些病区的特殊式样要求</w:t>
            </w:r>
          </w:p>
        </w:tc>
      </w:tr>
      <w:tr>
        <w:tblPrEx>
          <w:tblCellMar>
            <w:top w:w="0" w:type="dxa"/>
            <w:left w:w="108" w:type="dxa"/>
            <w:bottom w:w="0" w:type="dxa"/>
            <w:right w:w="108" w:type="dxa"/>
          </w:tblCellMar>
        </w:tblPrEx>
        <w:trPr>
          <w:trHeight w:val="624" w:hRule="atLeast"/>
        </w:trPr>
        <w:tc>
          <w:tcPr>
            <w:tcW w:w="79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支持腕带的批量打印，支持病人住院号以及床号的筛选，迅速定位到单个病人</w:t>
            </w:r>
          </w:p>
        </w:tc>
      </w:tr>
      <w:tr>
        <w:tblPrEx>
          <w:tblCellMar>
            <w:top w:w="0" w:type="dxa"/>
            <w:left w:w="108" w:type="dxa"/>
            <w:bottom w:w="0" w:type="dxa"/>
            <w:right w:w="108" w:type="dxa"/>
          </w:tblCellMar>
        </w:tblPrEx>
        <w:trPr>
          <w:trHeight w:val="469" w:hRule="atLeast"/>
        </w:trPr>
        <w:tc>
          <w:tcPr>
            <w:tcW w:w="79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腕带操作</w:t>
            </w:r>
          </w:p>
        </w:tc>
        <w:tc>
          <w:tcPr>
            <w:tcW w:w="66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▲支持对病人腕带的绑定以及解绑，</w:t>
            </w:r>
            <w:r>
              <w:rPr>
                <w:rFonts w:hint="eastAsia" w:ascii="宋体" w:hAnsi="宋体" w:cs="宋体"/>
                <w:kern w:val="0"/>
                <w:sz w:val="24"/>
                <w:highlight w:val="none"/>
              </w:rPr>
              <w:t>支持腕带二维码一定区域感应扫码</w:t>
            </w:r>
          </w:p>
        </w:tc>
      </w:tr>
      <w:tr>
        <w:tblPrEx>
          <w:tblCellMar>
            <w:top w:w="0" w:type="dxa"/>
            <w:left w:w="108" w:type="dxa"/>
            <w:bottom w:w="0" w:type="dxa"/>
            <w:right w:w="108" w:type="dxa"/>
          </w:tblCellMar>
        </w:tblPrEx>
        <w:trPr>
          <w:trHeight w:val="469" w:hRule="atLeast"/>
        </w:trPr>
        <w:tc>
          <w:tcPr>
            <w:tcW w:w="79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1455"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患者信息展示与记录</w:t>
            </w:r>
          </w:p>
        </w:tc>
        <w:tc>
          <w:tcPr>
            <w:tcW w:w="120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患者信息</w:t>
            </w:r>
          </w:p>
        </w:tc>
        <w:tc>
          <w:tcPr>
            <w:tcW w:w="66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显示当前登录用户的工号、姓名、病区等信息。显示当前病区的总人数，多病区管理时可进行切换病区操作 </w:t>
            </w:r>
          </w:p>
        </w:tc>
      </w:tr>
      <w:tr>
        <w:tblPrEx>
          <w:tblCellMar>
            <w:top w:w="0" w:type="dxa"/>
            <w:left w:w="108" w:type="dxa"/>
            <w:bottom w:w="0" w:type="dxa"/>
            <w:right w:w="108" w:type="dxa"/>
          </w:tblCellMar>
        </w:tblPrEx>
        <w:trPr>
          <w:trHeight w:val="469" w:hRule="atLeast"/>
        </w:trPr>
        <w:tc>
          <w:tcPr>
            <w:tcW w:w="79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显示包括但不限于病人床号、姓名、年龄、性别、住院号、护理级别、入院时间、医保类别、费用情况等相关信息</w:t>
            </w:r>
          </w:p>
        </w:tc>
      </w:tr>
      <w:tr>
        <w:tblPrEx>
          <w:tblCellMar>
            <w:top w:w="0" w:type="dxa"/>
            <w:left w:w="108" w:type="dxa"/>
            <w:bottom w:w="0" w:type="dxa"/>
            <w:right w:w="108" w:type="dxa"/>
          </w:tblCellMar>
        </w:tblPrEx>
        <w:trPr>
          <w:trHeight w:val="469" w:hRule="atLeast"/>
        </w:trPr>
        <w:tc>
          <w:tcPr>
            <w:tcW w:w="79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不同颜色区分护理等级，颜色可自定义配置；提供按护理等级、危重病人、新入院病人，责护分组等分类查询显示 </w:t>
            </w:r>
          </w:p>
        </w:tc>
      </w:tr>
      <w:tr>
        <w:tblPrEx>
          <w:tblCellMar>
            <w:top w:w="0" w:type="dxa"/>
            <w:left w:w="108" w:type="dxa"/>
            <w:bottom w:w="0" w:type="dxa"/>
            <w:right w:w="108" w:type="dxa"/>
          </w:tblCellMar>
        </w:tblPrEx>
        <w:trPr>
          <w:trHeight w:val="469" w:hRule="atLeast"/>
        </w:trPr>
        <w:tc>
          <w:tcPr>
            <w:tcW w:w="79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2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63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显示高温患者、呕吐/窒息高危患者、烫伤风险高危、跌倒/坠床高危、压疮高危、新入院、预出院等状态</w:t>
            </w:r>
          </w:p>
        </w:tc>
      </w:tr>
      <w:tr>
        <w:tblPrEx>
          <w:tblCellMar>
            <w:top w:w="0" w:type="dxa"/>
            <w:left w:w="108" w:type="dxa"/>
            <w:bottom w:w="0" w:type="dxa"/>
            <w:right w:w="108" w:type="dxa"/>
          </w:tblCellMar>
        </w:tblPrEx>
        <w:trPr>
          <w:trHeight w:val="469" w:hRule="atLeast"/>
        </w:trPr>
        <w:tc>
          <w:tcPr>
            <w:tcW w:w="79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患者分组管理</w:t>
            </w:r>
          </w:p>
        </w:tc>
        <w:tc>
          <w:tcPr>
            <w:tcW w:w="783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将本病区患者分配给相应的责任护士，护士可以筛选出属于自己责任组的所有患者，开展临床护理工作；可获取HIS系统分组护士且移动护理分组护士能够反写回HIS，保持线上线下系统同步</w:t>
            </w:r>
          </w:p>
        </w:tc>
      </w:tr>
      <w:tr>
        <w:tblPrEx>
          <w:tblCellMar>
            <w:top w:w="0" w:type="dxa"/>
            <w:left w:w="108" w:type="dxa"/>
            <w:bottom w:w="0" w:type="dxa"/>
            <w:right w:w="108" w:type="dxa"/>
          </w:tblCellMar>
        </w:tblPrEx>
        <w:trPr>
          <w:trHeight w:val="469" w:hRule="atLeast"/>
        </w:trPr>
        <w:tc>
          <w:tcPr>
            <w:tcW w:w="79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患者流转核对</w:t>
            </w:r>
          </w:p>
        </w:tc>
        <w:tc>
          <w:tcPr>
            <w:tcW w:w="783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扫描患者腕带，核对患者信息，并记录</w:t>
            </w:r>
            <w:r>
              <w:rPr>
                <w:rFonts w:hint="eastAsia" w:ascii="宋体" w:hAnsi="宋体" w:cs="宋体"/>
                <w:kern w:val="0"/>
                <w:sz w:val="24"/>
                <w:highlight w:val="none"/>
              </w:rPr>
              <w:t>患者流转信息，比如记录患者出入院、外出检查、进出手术室、回病房；外出返</w:t>
            </w:r>
            <w:r>
              <w:rPr>
                <w:rFonts w:hint="eastAsia" w:ascii="宋体" w:hAnsi="宋体" w:cs="宋体"/>
                <w:kern w:val="0"/>
                <w:sz w:val="24"/>
              </w:rPr>
              <w:t>回扫腕带应支持多种形式，包括但不限于移动护理设备和患者自助扫码设备。</w:t>
            </w:r>
          </w:p>
        </w:tc>
      </w:tr>
      <w:tr>
        <w:tblPrEx>
          <w:tblCellMar>
            <w:top w:w="0" w:type="dxa"/>
            <w:left w:w="108" w:type="dxa"/>
            <w:bottom w:w="0" w:type="dxa"/>
            <w:right w:w="108" w:type="dxa"/>
          </w:tblCellMar>
        </w:tblPrEx>
        <w:trPr>
          <w:trHeight w:val="469" w:hRule="atLeast"/>
        </w:trPr>
        <w:tc>
          <w:tcPr>
            <w:tcW w:w="79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患者流转查询</w:t>
            </w:r>
          </w:p>
        </w:tc>
        <w:tc>
          <w:tcPr>
            <w:tcW w:w="783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提供患者入院、转科、转床、手术流转、出院等记录的查询</w:t>
            </w:r>
          </w:p>
        </w:tc>
      </w:tr>
      <w:tr>
        <w:tblPrEx>
          <w:tblCellMar>
            <w:top w:w="0" w:type="dxa"/>
            <w:left w:w="108" w:type="dxa"/>
            <w:bottom w:w="0" w:type="dxa"/>
            <w:right w:w="108" w:type="dxa"/>
          </w:tblCellMar>
        </w:tblPrEx>
        <w:trPr>
          <w:trHeight w:val="469" w:hRule="atLeast"/>
        </w:trPr>
        <w:tc>
          <w:tcPr>
            <w:tcW w:w="79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等级护理巡视</w:t>
            </w:r>
          </w:p>
        </w:tc>
        <w:tc>
          <w:tcPr>
            <w:tcW w:w="783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r>
              <w:rPr>
                <w:rFonts w:hint="eastAsia" w:ascii="宋体" w:hAnsi="宋体" w:cs="宋体"/>
                <w:kern w:val="0"/>
                <w:sz w:val="24"/>
              </w:rPr>
              <w:t>扫描患者腕带或床头卡，记录护理等级巡视情况</w:t>
            </w:r>
            <w:r>
              <w:rPr>
                <w:rFonts w:hint="eastAsia" w:ascii="宋体" w:hAnsi="宋体" w:cs="宋体"/>
                <w:kern w:val="0"/>
                <w:sz w:val="24"/>
                <w:highlight w:val="none"/>
              </w:rPr>
              <w:t>，可记录患者出入院、外出检查、进出手术室、回病房</w:t>
            </w:r>
          </w:p>
        </w:tc>
      </w:tr>
      <w:tr>
        <w:tblPrEx>
          <w:tblCellMar>
            <w:top w:w="0" w:type="dxa"/>
            <w:left w:w="108" w:type="dxa"/>
            <w:bottom w:w="0" w:type="dxa"/>
            <w:right w:w="108" w:type="dxa"/>
          </w:tblCellMar>
        </w:tblPrEx>
        <w:trPr>
          <w:trHeight w:val="469" w:hRule="atLeast"/>
        </w:trPr>
        <w:tc>
          <w:tcPr>
            <w:tcW w:w="79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45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出院患者查询</w:t>
            </w:r>
          </w:p>
        </w:tc>
        <w:tc>
          <w:tcPr>
            <w:tcW w:w="783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可根据病历号、姓名、时间查阅已经出院的患者护理病历</w:t>
            </w:r>
          </w:p>
        </w:tc>
      </w:tr>
      <w:tr>
        <w:tblPrEx>
          <w:tblCellMar>
            <w:top w:w="0" w:type="dxa"/>
            <w:left w:w="108" w:type="dxa"/>
            <w:bottom w:w="0" w:type="dxa"/>
            <w:right w:w="108" w:type="dxa"/>
          </w:tblCellMar>
        </w:tblPrEx>
        <w:trPr>
          <w:trHeight w:val="399" w:hRule="atLeast"/>
        </w:trPr>
        <w:tc>
          <w:tcPr>
            <w:tcW w:w="790"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护理文书管理</w:t>
            </w:r>
          </w:p>
        </w:tc>
        <w:tc>
          <w:tcPr>
            <w:tcW w:w="1455"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b/>
                <w:bCs/>
                <w:color w:val="000000"/>
                <w:kern w:val="0"/>
                <w:sz w:val="24"/>
              </w:rPr>
            </w:pPr>
            <w:r>
              <w:rPr>
                <w:rFonts w:hint="eastAsia" w:asciiTheme="minorEastAsia" w:hAnsiTheme="minorEastAsia" w:eastAsiaTheme="minorEastAsia" w:cstheme="minorEastAsia"/>
                <w:kern w:val="0"/>
                <w:sz w:val="24"/>
              </w:rPr>
              <w:t>▲</w:t>
            </w:r>
            <w:r>
              <w:rPr>
                <w:rFonts w:hint="eastAsia" w:ascii="仿宋" w:hAnsi="仿宋" w:eastAsia="仿宋" w:cs="宋体"/>
                <w:b/>
                <w:bCs/>
                <w:color w:val="000000"/>
                <w:kern w:val="0"/>
                <w:sz w:val="24"/>
              </w:rPr>
              <w:t>护理记录单</w:t>
            </w:r>
          </w:p>
          <w:p>
            <w:pPr>
              <w:widowControl/>
              <w:jc w:val="left"/>
              <w:rPr>
                <w:rFonts w:ascii="宋体" w:hAnsi="宋体" w:cs="宋体"/>
                <w:kern w:val="0"/>
                <w:sz w:val="24"/>
              </w:rPr>
            </w:pPr>
            <w:r>
              <w:rPr>
                <w:rFonts w:hint="eastAsia" w:asciiTheme="minorEastAsia" w:hAnsiTheme="minorEastAsia" w:eastAsiaTheme="minorEastAsia" w:cstheme="minorEastAsia"/>
                <w:b/>
                <w:bCs/>
                <w:color w:val="000000"/>
                <w:kern w:val="0"/>
                <w:sz w:val="24"/>
              </w:rPr>
              <w:t>(需要同步至线下系统)</w:t>
            </w:r>
          </w:p>
        </w:tc>
        <w:tc>
          <w:tcPr>
            <w:tcW w:w="783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支持利用手持终端床旁数据采集录入、支持一点录入，多点共享 </w:t>
            </w:r>
          </w:p>
        </w:tc>
      </w:tr>
      <w:tr>
        <w:tblPrEx>
          <w:tblCellMar>
            <w:top w:w="0" w:type="dxa"/>
            <w:left w:w="108" w:type="dxa"/>
            <w:bottom w:w="0" w:type="dxa"/>
            <w:right w:w="108" w:type="dxa"/>
          </w:tblCellMar>
        </w:tblPrEx>
        <w:trPr>
          <w:trHeight w:val="469" w:hRule="atLeast"/>
        </w:trPr>
        <w:tc>
          <w:tcPr>
            <w:tcW w:w="79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1455"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783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支持一般护理单记录、查询</w:t>
            </w:r>
          </w:p>
        </w:tc>
      </w:tr>
      <w:tr>
        <w:tblPrEx>
          <w:tblCellMar>
            <w:top w:w="0" w:type="dxa"/>
            <w:left w:w="108" w:type="dxa"/>
            <w:bottom w:w="0" w:type="dxa"/>
            <w:right w:w="108" w:type="dxa"/>
          </w:tblCellMar>
        </w:tblPrEx>
        <w:trPr>
          <w:trHeight w:val="469" w:hRule="atLeast"/>
        </w:trPr>
        <w:tc>
          <w:tcPr>
            <w:tcW w:w="79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1455"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783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支持血糖记录单记录、查询</w:t>
            </w:r>
          </w:p>
        </w:tc>
      </w:tr>
      <w:tr>
        <w:tblPrEx>
          <w:tblCellMar>
            <w:top w:w="0" w:type="dxa"/>
            <w:left w:w="108" w:type="dxa"/>
            <w:bottom w:w="0" w:type="dxa"/>
            <w:right w:w="108" w:type="dxa"/>
          </w:tblCellMar>
        </w:tblPrEx>
        <w:trPr>
          <w:trHeight w:val="469" w:hRule="atLeast"/>
        </w:trPr>
        <w:tc>
          <w:tcPr>
            <w:tcW w:w="79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1455"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783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支持出入量护理单记录、查询</w:t>
            </w:r>
          </w:p>
        </w:tc>
      </w:tr>
      <w:tr>
        <w:tblPrEx>
          <w:tblCellMar>
            <w:top w:w="0" w:type="dxa"/>
            <w:left w:w="108" w:type="dxa"/>
            <w:bottom w:w="0" w:type="dxa"/>
            <w:right w:w="108" w:type="dxa"/>
          </w:tblCellMar>
        </w:tblPrEx>
        <w:trPr>
          <w:trHeight w:val="469" w:hRule="atLeast"/>
        </w:trPr>
        <w:tc>
          <w:tcPr>
            <w:tcW w:w="79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1455"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783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支持转科患者护理记录单记录、查询</w:t>
            </w:r>
          </w:p>
        </w:tc>
      </w:tr>
      <w:tr>
        <w:tblPrEx>
          <w:tblCellMar>
            <w:top w:w="0" w:type="dxa"/>
            <w:left w:w="108" w:type="dxa"/>
            <w:bottom w:w="0" w:type="dxa"/>
            <w:right w:w="108" w:type="dxa"/>
          </w:tblCellMar>
        </w:tblPrEx>
        <w:trPr>
          <w:trHeight w:val="469" w:hRule="atLeast"/>
        </w:trPr>
        <w:tc>
          <w:tcPr>
            <w:tcW w:w="79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1455"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783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支持危重患者护理记录单记录、查询</w:t>
            </w:r>
          </w:p>
        </w:tc>
      </w:tr>
      <w:tr>
        <w:tblPrEx>
          <w:tblCellMar>
            <w:top w:w="0" w:type="dxa"/>
            <w:left w:w="108" w:type="dxa"/>
            <w:bottom w:w="0" w:type="dxa"/>
            <w:right w:w="108" w:type="dxa"/>
          </w:tblCellMar>
        </w:tblPrEx>
        <w:trPr>
          <w:trHeight w:val="469" w:hRule="atLeast"/>
        </w:trPr>
        <w:tc>
          <w:tcPr>
            <w:tcW w:w="79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1455"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783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支持输血护理记录单记录、查询</w:t>
            </w:r>
          </w:p>
        </w:tc>
      </w:tr>
      <w:tr>
        <w:tblPrEx>
          <w:tblCellMar>
            <w:top w:w="0" w:type="dxa"/>
            <w:left w:w="108" w:type="dxa"/>
            <w:bottom w:w="0" w:type="dxa"/>
            <w:right w:w="108" w:type="dxa"/>
          </w:tblCellMar>
        </w:tblPrEx>
        <w:trPr>
          <w:trHeight w:val="469" w:hRule="atLeast"/>
        </w:trPr>
        <w:tc>
          <w:tcPr>
            <w:tcW w:w="79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1455" w:type="dxa"/>
            <w:vMerge w:val="continue"/>
            <w:tcBorders>
              <w:left w:val="single" w:color="auto" w:sz="4" w:space="0"/>
              <w:right w:val="single" w:color="auto" w:sz="4" w:space="0"/>
            </w:tcBorders>
            <w:vAlign w:val="center"/>
          </w:tcPr>
          <w:p>
            <w:pPr>
              <w:widowControl/>
              <w:jc w:val="left"/>
              <w:rPr>
                <w:rFonts w:ascii="宋体" w:hAnsi="宋体" w:cs="宋体"/>
                <w:sz w:val="24"/>
              </w:rPr>
            </w:pPr>
          </w:p>
        </w:tc>
        <w:tc>
          <w:tcPr>
            <w:tcW w:w="783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支持手术护理记录单记录、查询</w:t>
            </w:r>
          </w:p>
        </w:tc>
      </w:tr>
      <w:tr>
        <w:tblPrEx>
          <w:tblCellMar>
            <w:top w:w="0" w:type="dxa"/>
            <w:left w:w="108" w:type="dxa"/>
            <w:bottom w:w="0" w:type="dxa"/>
            <w:right w:w="108" w:type="dxa"/>
          </w:tblCellMar>
        </w:tblPrEx>
        <w:trPr>
          <w:trHeight w:val="469" w:hRule="atLeast"/>
        </w:trPr>
        <w:tc>
          <w:tcPr>
            <w:tcW w:w="79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1455" w:type="dxa"/>
            <w:vMerge w:val="continue"/>
            <w:tcBorders>
              <w:left w:val="single" w:color="auto" w:sz="4" w:space="0"/>
              <w:right w:val="single" w:color="auto" w:sz="4" w:space="0"/>
            </w:tcBorders>
            <w:vAlign w:val="center"/>
          </w:tcPr>
          <w:p>
            <w:pPr>
              <w:widowControl/>
              <w:jc w:val="left"/>
              <w:rPr>
                <w:rFonts w:ascii="宋体" w:hAnsi="宋体" w:cs="宋体"/>
                <w:sz w:val="24"/>
              </w:rPr>
            </w:pPr>
          </w:p>
        </w:tc>
        <w:tc>
          <w:tcPr>
            <w:tcW w:w="783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分娩相关护理记录应当与分娩系统融合建设</w:t>
            </w:r>
          </w:p>
        </w:tc>
      </w:tr>
      <w:tr>
        <w:tblPrEx>
          <w:tblCellMar>
            <w:top w:w="0" w:type="dxa"/>
            <w:left w:w="108" w:type="dxa"/>
            <w:bottom w:w="0" w:type="dxa"/>
            <w:right w:w="108" w:type="dxa"/>
          </w:tblCellMar>
        </w:tblPrEx>
        <w:trPr>
          <w:trHeight w:val="469" w:hRule="atLeast"/>
        </w:trPr>
        <w:tc>
          <w:tcPr>
            <w:tcW w:w="79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145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83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支持医院单据定制，支持体温单数据、医嘱数据、检查检验数据导入。同时具备辅助输入功能</w:t>
            </w:r>
          </w:p>
        </w:tc>
      </w:tr>
      <w:tr>
        <w:tblPrEx>
          <w:tblCellMar>
            <w:top w:w="0" w:type="dxa"/>
            <w:left w:w="108" w:type="dxa"/>
            <w:bottom w:w="0" w:type="dxa"/>
            <w:right w:w="108" w:type="dxa"/>
          </w:tblCellMar>
        </w:tblPrEx>
        <w:trPr>
          <w:trHeight w:val="469" w:hRule="atLeast"/>
        </w:trPr>
        <w:tc>
          <w:tcPr>
            <w:tcW w:w="790" w:type="dxa"/>
            <w:vMerge w:val="continue"/>
            <w:tcBorders>
              <w:left w:val="single" w:color="auto" w:sz="4" w:space="0"/>
              <w:right w:val="single" w:color="auto" w:sz="4" w:space="0"/>
            </w:tcBorders>
            <w:vAlign w:val="center"/>
          </w:tcPr>
          <w:p>
            <w:pPr>
              <w:widowControl/>
              <w:jc w:val="center"/>
              <w:rPr>
                <w:rFonts w:ascii="宋体" w:hAnsi="宋体" w:cs="宋体"/>
                <w:kern w:val="0"/>
                <w:sz w:val="24"/>
              </w:rPr>
            </w:pPr>
          </w:p>
        </w:tc>
        <w:tc>
          <w:tcPr>
            <w:tcW w:w="1455" w:type="dxa"/>
            <w:vMerge w:val="restart"/>
            <w:tcBorders>
              <w:top w:val="single" w:color="auto" w:sz="4" w:space="0"/>
              <w:left w:val="single" w:color="auto" w:sz="4" w:space="0"/>
              <w:right w:val="single" w:color="auto" w:sz="4" w:space="0"/>
            </w:tcBorders>
            <w:vAlign w:val="center"/>
          </w:tcPr>
          <w:p>
            <w:pPr>
              <w:widowControl/>
              <w:jc w:val="left"/>
              <w:rPr>
                <w:rFonts w:asciiTheme="minorEastAsia" w:hAnsiTheme="minorEastAsia" w:eastAsiaTheme="minorEastAsia" w:cstheme="minorEastAsia"/>
                <w:b/>
                <w:bCs/>
                <w:color w:val="000000"/>
                <w:kern w:val="0"/>
                <w:sz w:val="24"/>
              </w:rPr>
            </w:pP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b/>
                <w:bCs/>
                <w:color w:val="000000"/>
                <w:kern w:val="0"/>
                <w:sz w:val="24"/>
              </w:rPr>
              <w:t>评估记录单</w:t>
            </w:r>
          </w:p>
          <w:p>
            <w:pPr>
              <w:widowControl/>
              <w:jc w:val="left"/>
              <w:rPr>
                <w:rFonts w:asciiTheme="minorEastAsia" w:hAnsiTheme="minorEastAsia" w:eastAsiaTheme="minorEastAsia" w:cstheme="minorEastAsia"/>
                <w:b/>
                <w:bCs/>
                <w:color w:val="000000"/>
                <w:kern w:val="0"/>
                <w:sz w:val="24"/>
              </w:rPr>
            </w:pPr>
            <w:r>
              <w:rPr>
                <w:rFonts w:hint="eastAsia" w:asciiTheme="minorEastAsia" w:hAnsiTheme="minorEastAsia" w:eastAsiaTheme="minorEastAsia" w:cstheme="minorEastAsia"/>
                <w:b/>
                <w:bCs/>
                <w:color w:val="000000"/>
                <w:kern w:val="0"/>
                <w:sz w:val="24"/>
              </w:rPr>
              <w:t>(需要同步至线下系统)</w:t>
            </w:r>
          </w:p>
        </w:tc>
        <w:tc>
          <w:tcPr>
            <w:tcW w:w="783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xml:space="preserve">支持利用手持终端床旁数据采集录入、支持一点录入，多点共享 </w:t>
            </w:r>
          </w:p>
        </w:tc>
      </w:tr>
      <w:tr>
        <w:tblPrEx>
          <w:tblCellMar>
            <w:top w:w="0" w:type="dxa"/>
            <w:left w:w="108" w:type="dxa"/>
            <w:bottom w:w="0" w:type="dxa"/>
            <w:right w:w="108" w:type="dxa"/>
          </w:tblCellMar>
        </w:tblPrEx>
        <w:trPr>
          <w:trHeight w:val="469" w:hRule="atLeast"/>
        </w:trPr>
        <w:tc>
          <w:tcPr>
            <w:tcW w:w="79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1455"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783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支持入院评估单记录、查询</w:t>
            </w:r>
          </w:p>
        </w:tc>
      </w:tr>
      <w:tr>
        <w:tblPrEx>
          <w:tblCellMar>
            <w:top w:w="0" w:type="dxa"/>
            <w:left w:w="108" w:type="dxa"/>
            <w:bottom w:w="0" w:type="dxa"/>
            <w:right w:w="108" w:type="dxa"/>
          </w:tblCellMar>
        </w:tblPrEx>
        <w:trPr>
          <w:trHeight w:val="469" w:hRule="atLeast"/>
        </w:trPr>
        <w:tc>
          <w:tcPr>
            <w:tcW w:w="79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1455"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783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支持Barthel指数（BI）评估单记录、查询</w:t>
            </w:r>
          </w:p>
        </w:tc>
      </w:tr>
      <w:tr>
        <w:tblPrEx>
          <w:tblCellMar>
            <w:top w:w="0" w:type="dxa"/>
            <w:left w:w="108" w:type="dxa"/>
            <w:bottom w:w="0" w:type="dxa"/>
            <w:right w:w="108" w:type="dxa"/>
          </w:tblCellMar>
        </w:tblPrEx>
        <w:trPr>
          <w:trHeight w:val="469" w:hRule="atLeast"/>
        </w:trPr>
        <w:tc>
          <w:tcPr>
            <w:tcW w:w="79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1455"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783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支持导管危险评估单记录、查询</w:t>
            </w:r>
          </w:p>
        </w:tc>
      </w:tr>
      <w:tr>
        <w:tblPrEx>
          <w:tblCellMar>
            <w:top w:w="0" w:type="dxa"/>
            <w:left w:w="108" w:type="dxa"/>
            <w:bottom w:w="0" w:type="dxa"/>
            <w:right w:w="108" w:type="dxa"/>
          </w:tblCellMar>
        </w:tblPrEx>
        <w:trPr>
          <w:trHeight w:val="469" w:hRule="atLeast"/>
        </w:trPr>
        <w:tc>
          <w:tcPr>
            <w:tcW w:w="79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1455"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783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支持坠床/跌倒危险评估单记录、查询</w:t>
            </w:r>
          </w:p>
        </w:tc>
      </w:tr>
      <w:tr>
        <w:tblPrEx>
          <w:tblCellMar>
            <w:top w:w="0" w:type="dxa"/>
            <w:left w:w="108" w:type="dxa"/>
            <w:bottom w:w="0" w:type="dxa"/>
            <w:right w:w="108" w:type="dxa"/>
          </w:tblCellMar>
        </w:tblPrEx>
        <w:trPr>
          <w:trHeight w:val="469" w:hRule="atLeast"/>
        </w:trPr>
        <w:tc>
          <w:tcPr>
            <w:tcW w:w="79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1455"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783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支持烫伤危险评估单记录、查询</w:t>
            </w:r>
          </w:p>
        </w:tc>
      </w:tr>
      <w:tr>
        <w:tblPrEx>
          <w:tblCellMar>
            <w:top w:w="0" w:type="dxa"/>
            <w:left w:w="108" w:type="dxa"/>
            <w:bottom w:w="0" w:type="dxa"/>
            <w:right w:w="108" w:type="dxa"/>
          </w:tblCellMar>
        </w:tblPrEx>
        <w:trPr>
          <w:trHeight w:val="469" w:hRule="atLeast"/>
        </w:trPr>
        <w:tc>
          <w:tcPr>
            <w:tcW w:w="79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1455"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783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支持MEWS评估单记录、查询</w:t>
            </w:r>
          </w:p>
        </w:tc>
      </w:tr>
      <w:tr>
        <w:tblPrEx>
          <w:tblCellMar>
            <w:top w:w="0" w:type="dxa"/>
            <w:left w:w="108" w:type="dxa"/>
            <w:bottom w:w="0" w:type="dxa"/>
            <w:right w:w="108" w:type="dxa"/>
          </w:tblCellMar>
        </w:tblPrEx>
        <w:trPr>
          <w:trHeight w:val="469" w:hRule="atLeast"/>
        </w:trPr>
        <w:tc>
          <w:tcPr>
            <w:tcW w:w="790"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1455" w:type="dxa"/>
            <w:vMerge w:val="continue"/>
            <w:tcBorders>
              <w:left w:val="single" w:color="auto" w:sz="4" w:space="0"/>
              <w:right w:val="single" w:color="auto" w:sz="4" w:space="0"/>
            </w:tcBorders>
            <w:vAlign w:val="center"/>
          </w:tcPr>
          <w:p>
            <w:pPr>
              <w:widowControl/>
              <w:jc w:val="left"/>
              <w:rPr>
                <w:rFonts w:ascii="宋体" w:hAnsi="宋体" w:cs="宋体"/>
                <w:kern w:val="0"/>
                <w:sz w:val="24"/>
              </w:rPr>
            </w:pPr>
          </w:p>
        </w:tc>
        <w:tc>
          <w:tcPr>
            <w:tcW w:w="783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支持Braden评估单记录、查询</w:t>
            </w:r>
          </w:p>
        </w:tc>
      </w:tr>
      <w:tr>
        <w:tblPrEx>
          <w:tblCellMar>
            <w:top w:w="0" w:type="dxa"/>
            <w:left w:w="108" w:type="dxa"/>
            <w:bottom w:w="0" w:type="dxa"/>
            <w:right w:w="108" w:type="dxa"/>
          </w:tblCellMar>
        </w:tblPrEx>
        <w:trPr>
          <w:trHeight w:val="469" w:hRule="atLeast"/>
        </w:trPr>
        <w:tc>
          <w:tcPr>
            <w:tcW w:w="79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45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83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支持医院单据定制，支持体温单数据、医嘱数据、检查检验数据导入。同时具备辅助输入功能</w:t>
            </w:r>
          </w:p>
        </w:tc>
      </w:tr>
    </w:tbl>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tbl>
      <w:tblPr>
        <w:tblStyle w:val="47"/>
        <w:tblpPr w:leftFromText="180" w:rightFromText="180" w:vertAnchor="text" w:horzAnchor="page" w:tblpX="1412" w:tblpY="1003"/>
        <w:tblOverlap w:val="never"/>
        <w:tblW w:w="9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831"/>
        <w:gridCol w:w="1906"/>
        <w:gridCol w:w="6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restart"/>
            <w:vAlign w:val="center"/>
          </w:tcPr>
          <w:p>
            <w:pPr>
              <w:widowControl/>
              <w:jc w:val="center"/>
              <w:rPr>
                <w:rFonts w:ascii="宋体" w:hAnsi="宋体" w:cs="宋体"/>
                <w:kern w:val="0"/>
                <w:sz w:val="24"/>
              </w:rPr>
            </w:pPr>
            <w:r>
              <w:rPr>
                <w:rFonts w:hint="eastAsia" w:ascii="宋体" w:hAnsi="宋体" w:cs="宋体"/>
                <w:kern w:val="0"/>
                <w:sz w:val="24"/>
              </w:rPr>
              <w:t>医嘱闭环管理</w:t>
            </w:r>
          </w:p>
        </w:tc>
        <w:tc>
          <w:tcPr>
            <w:tcW w:w="831" w:type="dxa"/>
            <w:vMerge w:val="restart"/>
            <w:noWrap/>
            <w:vAlign w:val="center"/>
          </w:tcPr>
          <w:p>
            <w:pPr>
              <w:widowControl/>
              <w:jc w:val="center"/>
              <w:rPr>
                <w:rFonts w:ascii="宋体" w:hAnsi="宋体" w:cs="宋体"/>
                <w:kern w:val="0"/>
                <w:sz w:val="24"/>
              </w:rPr>
            </w:pPr>
            <w:r>
              <w:rPr>
                <w:rFonts w:hint="eastAsia" w:ascii="宋体" w:hAnsi="宋体" w:cs="宋体"/>
                <w:kern w:val="0"/>
                <w:sz w:val="24"/>
              </w:rPr>
              <w:t>医嘱查询</w:t>
            </w:r>
          </w:p>
        </w:tc>
        <w:tc>
          <w:tcPr>
            <w:tcW w:w="1906" w:type="dxa"/>
            <w:vAlign w:val="center"/>
          </w:tcPr>
          <w:p>
            <w:pPr>
              <w:widowControl/>
              <w:jc w:val="left"/>
              <w:rPr>
                <w:rFonts w:ascii="宋体" w:hAnsi="宋体" w:cs="宋体"/>
                <w:kern w:val="0"/>
                <w:sz w:val="24"/>
              </w:rPr>
            </w:pPr>
            <w:r>
              <w:rPr>
                <w:rFonts w:hint="eastAsia" w:ascii="宋体" w:hAnsi="宋体" w:cs="宋体"/>
                <w:kern w:val="0"/>
                <w:sz w:val="24"/>
              </w:rPr>
              <w:t>原始医嘱查看</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查看医生在电子医生站中下达的原始医嘱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 xml:space="preserve">新医嘱查看 </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患者一览界面中，可以在医生下达新医嘱后在床位卡上进行提示。可</w:t>
            </w:r>
            <w:r>
              <w:rPr>
                <w:rFonts w:hint="eastAsia" w:ascii="宋体" w:hAnsi="宋体" w:cs="宋体"/>
                <w:sz w:val="24"/>
              </w:rPr>
              <w:t>根据医嘱类型、时间、床号等条件查询临时、长期医嘱。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医嘱处理</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1)根据医嘱频次、用药时间对药物医嘱进行处理，产生医嘱瓶贴并打印。</w:t>
            </w:r>
            <w:r>
              <w:rPr>
                <w:rFonts w:hint="eastAsia" w:ascii="宋体" w:hAnsi="宋体" w:cs="宋体"/>
                <w:kern w:val="0"/>
                <w:sz w:val="24"/>
              </w:rPr>
              <w:br w:type="textWrapping"/>
            </w:r>
            <w:r>
              <w:rPr>
                <w:rFonts w:hint="eastAsia" w:ascii="宋体" w:hAnsi="宋体" w:cs="宋体"/>
                <w:kern w:val="0"/>
                <w:sz w:val="24"/>
              </w:rPr>
              <w:t>2)瓶贴需包含患者及药物所有关键信息：患者姓名、年龄、科室、住院号、门诊号、床位号、房间号、过敏史、诊断、体重、药品明细、滴速、输液条码等。</w:t>
            </w:r>
            <w:r>
              <w:rPr>
                <w:rFonts w:hint="eastAsia" w:ascii="宋体" w:hAnsi="宋体" w:cs="宋体"/>
                <w:kern w:val="0"/>
                <w:sz w:val="24"/>
              </w:rPr>
              <w:br w:type="textWrapping"/>
            </w:r>
            <w:r>
              <w:rPr>
                <w:rFonts w:hint="eastAsia" w:ascii="宋体" w:hAnsi="宋体" w:cs="宋体"/>
                <w:kern w:val="0"/>
                <w:sz w:val="24"/>
              </w:rPr>
              <w:t>3)瓶贴样式支持根据医院要求定制。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restart"/>
            <w:vAlign w:val="center"/>
          </w:tcPr>
          <w:p>
            <w:pPr>
              <w:widowControl/>
              <w:jc w:val="center"/>
              <w:rPr>
                <w:rFonts w:ascii="宋体" w:hAnsi="宋体" w:cs="宋体"/>
                <w:kern w:val="0"/>
                <w:sz w:val="24"/>
              </w:rPr>
            </w:pPr>
            <w:r>
              <w:rPr>
                <w:rFonts w:hint="eastAsia" w:ascii="宋体" w:hAnsi="宋体" w:cs="宋体"/>
                <w:kern w:val="0"/>
                <w:sz w:val="24"/>
              </w:rPr>
              <w:t>输液医嘱闭环</w:t>
            </w:r>
          </w:p>
        </w:tc>
        <w:tc>
          <w:tcPr>
            <w:tcW w:w="1906" w:type="dxa"/>
            <w:vAlign w:val="center"/>
          </w:tcPr>
          <w:p>
            <w:pPr>
              <w:widowControl/>
              <w:jc w:val="left"/>
              <w:rPr>
                <w:rFonts w:ascii="宋体" w:hAnsi="宋体" w:cs="宋体"/>
                <w:kern w:val="0"/>
                <w:sz w:val="24"/>
              </w:rPr>
            </w:pPr>
            <w:r>
              <w:rPr>
                <w:rFonts w:hint="eastAsia" w:ascii="宋体" w:hAnsi="宋体" w:cs="宋体"/>
                <w:kern w:val="0"/>
                <w:sz w:val="24"/>
              </w:rPr>
              <w:t>医嘱处理之输液瓶签打印</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病区配液的模式中，应当和住院电子医嘱对接，按给定的时间频度和医嘱有效期，将医嘱按照频次拆分后，产生输液类医嘱的瓶签，瓶签信息包括：床号、患者姓名、用药方式、频度代码、用药日期、当天第几次用药、药物名称、剂量、单位、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输液准备之护士站收药核对</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护士对患者输液用药成组药品的扫描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输液准备之备药扫描</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输液配药的扫描操作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输液准备之复核扫描</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输液配药的复核扫描操作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输液执行之用药核对</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采用医嘱执行列表勾选提交执行，或者扫描病人腕带提交执行，复核用药和对应患者，当两者匹配后继续用药（同时记录用药时间和用药人）；如不匹配进行提醒。输液的开始和结束均进行扫描进行提醒，数字化记录两者的真实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sz w:val="24"/>
              </w:rPr>
              <w:t>输液观察记录单</w:t>
            </w:r>
          </w:p>
        </w:tc>
        <w:tc>
          <w:tcPr>
            <w:tcW w:w="6455" w:type="dxa"/>
            <w:vAlign w:val="center"/>
          </w:tcPr>
          <w:p>
            <w:pPr>
              <w:widowControl/>
              <w:jc w:val="left"/>
              <w:rPr>
                <w:rFonts w:ascii="宋体" w:hAnsi="宋体" w:cs="宋体"/>
                <w:kern w:val="0"/>
                <w:sz w:val="24"/>
              </w:rPr>
            </w:pPr>
            <w:r>
              <w:rPr>
                <w:rFonts w:hint="eastAsia" w:ascii="宋体" w:hAnsi="宋体" w:cs="宋体"/>
                <w:sz w:val="24"/>
              </w:rPr>
              <w:t>记录和查看输液观察记录并打印（可结合PC端系统实现）。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 xml:space="preserve">医嘱执行记录查看、打印 </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可查看护士对于患者输液医嘱执行的相关记录，用于责任追溯医嘱执行记录包括用药时间、用药人、异常记录等，支持打印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sz w:val="24"/>
              </w:rPr>
              <w:t>单病人医嘱执行单</w:t>
            </w:r>
          </w:p>
        </w:tc>
        <w:tc>
          <w:tcPr>
            <w:tcW w:w="6455" w:type="dxa"/>
            <w:vAlign w:val="center"/>
          </w:tcPr>
          <w:p>
            <w:pPr>
              <w:widowControl/>
              <w:jc w:val="left"/>
              <w:rPr>
                <w:rFonts w:ascii="宋体" w:hAnsi="宋体" w:cs="宋体"/>
                <w:kern w:val="0"/>
                <w:sz w:val="24"/>
              </w:rPr>
            </w:pPr>
            <w:r>
              <w:rPr>
                <w:rFonts w:hint="eastAsia" w:ascii="宋体" w:hAnsi="宋体" w:cs="宋体"/>
                <w:sz w:val="24"/>
              </w:rPr>
              <w:t>记录和查看医嘱执行时产生的单个病人服药单、注射单、输液单和治疗单并打印。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sz w:val="24"/>
              </w:rPr>
              <w:t>医嘱服药记录单</w:t>
            </w:r>
          </w:p>
        </w:tc>
        <w:tc>
          <w:tcPr>
            <w:tcW w:w="6455" w:type="dxa"/>
            <w:vAlign w:val="center"/>
          </w:tcPr>
          <w:p>
            <w:pPr>
              <w:widowControl/>
              <w:jc w:val="left"/>
              <w:rPr>
                <w:rFonts w:ascii="宋体" w:hAnsi="宋体" w:cs="宋体"/>
                <w:kern w:val="0"/>
                <w:sz w:val="24"/>
              </w:rPr>
            </w:pPr>
            <w:r>
              <w:rPr>
                <w:rFonts w:hint="eastAsia" w:ascii="宋体" w:hAnsi="宋体" w:cs="宋体"/>
                <w:sz w:val="24"/>
              </w:rPr>
              <w:t>记录和查看医嘱服药记录并打印。（可结合PC端系统实现）。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医嘱执行巡视</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对执行用药患者情况的查看及一般情况的基本操作，包括暂停，继续，终止，录入滴速和异常情况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sz w:val="24"/>
              </w:rPr>
              <w:t>医嘱治疗单记录</w:t>
            </w:r>
          </w:p>
        </w:tc>
        <w:tc>
          <w:tcPr>
            <w:tcW w:w="6455" w:type="dxa"/>
            <w:vAlign w:val="center"/>
          </w:tcPr>
          <w:p>
            <w:pPr>
              <w:widowControl/>
              <w:jc w:val="left"/>
              <w:rPr>
                <w:rFonts w:ascii="宋体" w:hAnsi="宋体" w:cs="宋体"/>
                <w:kern w:val="0"/>
                <w:sz w:val="24"/>
              </w:rPr>
            </w:pPr>
            <w:r>
              <w:rPr>
                <w:rFonts w:hint="eastAsia" w:ascii="宋体" w:hAnsi="宋体" w:cs="宋体"/>
                <w:sz w:val="24"/>
              </w:rPr>
              <w:t>根据长期或临时、时间和床号等条件查询医嘱治疗执行的记录并打印。（可结合PC端系统实现）。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sz w:val="24"/>
              </w:rPr>
            </w:pPr>
            <w:r>
              <w:rPr>
                <w:rFonts w:hint="eastAsia" w:ascii="宋体" w:hAnsi="宋体" w:cs="宋体"/>
                <w:sz w:val="24"/>
              </w:rPr>
              <w:t>医嘱注射记录单</w:t>
            </w:r>
          </w:p>
        </w:tc>
        <w:tc>
          <w:tcPr>
            <w:tcW w:w="6455" w:type="dxa"/>
            <w:vAlign w:val="center"/>
          </w:tcPr>
          <w:p>
            <w:pPr>
              <w:widowControl/>
              <w:jc w:val="left"/>
              <w:rPr>
                <w:rFonts w:ascii="宋体" w:hAnsi="宋体" w:cs="宋体"/>
                <w:sz w:val="24"/>
              </w:rPr>
            </w:pPr>
            <w:r>
              <w:rPr>
                <w:rFonts w:hint="eastAsia" w:ascii="宋体" w:hAnsi="宋体" w:cs="宋体"/>
                <w:sz w:val="24"/>
              </w:rPr>
              <w:t>记录和查看按照医嘱进行注射的记录并打印。（可结合PC端系统实现）。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sz w:val="24"/>
              </w:rPr>
            </w:pPr>
            <w:r>
              <w:rPr>
                <w:rFonts w:hint="eastAsia" w:ascii="宋体" w:hAnsi="宋体" w:cs="宋体"/>
                <w:sz w:val="24"/>
              </w:rPr>
              <w:t>医嘱输液记录单</w:t>
            </w:r>
          </w:p>
        </w:tc>
        <w:tc>
          <w:tcPr>
            <w:tcW w:w="6455" w:type="dxa"/>
            <w:vAlign w:val="center"/>
          </w:tcPr>
          <w:p>
            <w:pPr>
              <w:widowControl/>
              <w:jc w:val="left"/>
              <w:rPr>
                <w:rFonts w:ascii="宋体" w:hAnsi="宋体" w:cs="宋体"/>
                <w:sz w:val="24"/>
              </w:rPr>
            </w:pPr>
            <w:r>
              <w:rPr>
                <w:rFonts w:hint="eastAsia" w:ascii="宋体" w:hAnsi="宋体" w:cs="宋体"/>
                <w:sz w:val="24"/>
              </w:rPr>
              <w:t>记录和查看按照医嘱进行输液的记录并打印。（可结合PC端系统实现）。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 xml:space="preserve">输液巡视单查询、打印 </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查看患者已执行输液医嘱的操作明细情况，支持打印</w:t>
            </w:r>
            <w:r>
              <w:rPr>
                <w:rFonts w:hint="eastAsia" w:ascii="宋体" w:hAnsi="宋体" w:cs="宋体"/>
                <w:sz w:val="24"/>
              </w:rPr>
              <w:t>（可结合PC端系统实现）。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sz w:val="24"/>
              </w:rPr>
              <w:t>打印输液巡视卡</w:t>
            </w:r>
          </w:p>
        </w:tc>
        <w:tc>
          <w:tcPr>
            <w:tcW w:w="6455" w:type="dxa"/>
            <w:vAlign w:val="center"/>
          </w:tcPr>
          <w:p>
            <w:pPr>
              <w:widowControl/>
              <w:jc w:val="left"/>
              <w:rPr>
                <w:rFonts w:ascii="宋体" w:hAnsi="宋体" w:cs="宋体"/>
                <w:kern w:val="0"/>
                <w:sz w:val="24"/>
              </w:rPr>
            </w:pPr>
            <w:r>
              <w:rPr>
                <w:rFonts w:hint="eastAsia" w:ascii="宋体" w:hAnsi="宋体" w:cs="宋体"/>
                <w:sz w:val="24"/>
              </w:rPr>
              <w:t>打印输液巡视卡。（可结合PC端系统实现）。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 xml:space="preserve">医嘱补执行 </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因某种原因，护士对患者用药未能通过无线护理设备执行，可进行补录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 xml:space="preserve">输液执行单查询、打印 </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按照医嘱对患者输液用药进行输液执行单的查询、打印</w:t>
            </w:r>
            <w:r>
              <w:rPr>
                <w:rFonts w:hint="eastAsia" w:ascii="宋体" w:hAnsi="宋体" w:cs="宋体"/>
                <w:sz w:val="24"/>
              </w:rPr>
              <w:t>（可结合PC端系统实现）。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执行结果回写</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将输液医嘱执行结果回写至HIS等系统中</w:t>
            </w:r>
            <w:r>
              <w:rPr>
                <w:rFonts w:hint="eastAsia" w:ascii="宋体" w:hAnsi="宋体" w:cs="宋体"/>
                <w:kern w:val="0"/>
                <w:sz w:val="24"/>
                <w:lang w:eastAsia="zh-CN"/>
              </w:rPr>
              <w:t>，同时临时医嘱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restart"/>
            <w:vAlign w:val="center"/>
          </w:tcPr>
          <w:p>
            <w:pPr>
              <w:widowControl/>
              <w:jc w:val="center"/>
              <w:rPr>
                <w:rFonts w:ascii="宋体" w:hAnsi="宋体" w:cs="宋体"/>
                <w:kern w:val="0"/>
                <w:sz w:val="24"/>
              </w:rPr>
            </w:pPr>
            <w:r>
              <w:rPr>
                <w:rFonts w:hint="eastAsia" w:ascii="宋体" w:hAnsi="宋体" w:cs="宋体"/>
                <w:kern w:val="0"/>
                <w:sz w:val="24"/>
              </w:rPr>
              <w:t>静配中心配药输液闭环</w:t>
            </w:r>
          </w:p>
        </w:tc>
        <w:tc>
          <w:tcPr>
            <w:tcW w:w="1906" w:type="dxa"/>
            <w:vAlign w:val="center"/>
          </w:tcPr>
          <w:p>
            <w:pPr>
              <w:widowControl/>
              <w:jc w:val="left"/>
              <w:rPr>
                <w:rFonts w:ascii="宋体" w:hAnsi="宋体" w:cs="宋体"/>
                <w:kern w:val="0"/>
                <w:sz w:val="24"/>
              </w:rPr>
            </w:pPr>
            <w:r>
              <w:rPr>
                <w:rFonts w:hint="eastAsia" w:ascii="宋体" w:hAnsi="宋体" w:cs="宋体"/>
                <w:kern w:val="0"/>
                <w:sz w:val="24"/>
              </w:rPr>
              <w:t>病区收药</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静配中心配药的模式中，护理系统和静配系统对接，病区按静配中心配送批次接收药品，并记录接收批次、批次实际药品总数、接收人、接收时间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医嘱执行之输液用药核对</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采用医嘱执行列表勾选提交执行，或者扫描病人腕带提交执行，复核用药和对应患者，当两者匹配后继续用药（同时记录用药时间和用药人）；如不匹配进行提醒。输液的开始和结束均进行扫描进行提醒，数字化记录两者的真实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 xml:space="preserve">医嘱执行记录查看、打印 </w:t>
            </w:r>
          </w:p>
        </w:tc>
        <w:tc>
          <w:tcPr>
            <w:tcW w:w="6455" w:type="dxa"/>
            <w:vAlign w:val="center"/>
          </w:tcPr>
          <w:p>
            <w:pPr>
              <w:widowControl/>
              <w:jc w:val="left"/>
              <w:rPr>
                <w:rFonts w:ascii="宋体" w:hAnsi="宋体" w:cs="宋体"/>
                <w:kern w:val="0"/>
                <w:sz w:val="24"/>
              </w:rPr>
            </w:pPr>
            <w:r>
              <w:rPr>
                <w:rFonts w:hint="eastAsia" w:ascii="宋体" w:hAnsi="宋体" w:cs="宋体"/>
                <w:sz w:val="24"/>
              </w:rPr>
              <w:t>记录和</w:t>
            </w:r>
            <w:r>
              <w:rPr>
                <w:rFonts w:hint="eastAsia" w:ascii="宋体" w:hAnsi="宋体" w:cs="宋体"/>
                <w:kern w:val="0"/>
                <w:sz w:val="24"/>
              </w:rPr>
              <w:t>查看护士对于患者输液医嘱执行的相关记录，用于责任追溯医嘱执行记录包括用药时间、用药人、异常记录等，支持打印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医嘱执行巡视</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对执行用药患者情况的查看及一般情况的基本操作，包括暂停，继续，终止，录入滴速和异常情况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 xml:space="preserve">输液巡视单查询、打印 </w:t>
            </w:r>
          </w:p>
        </w:tc>
        <w:tc>
          <w:tcPr>
            <w:tcW w:w="6455" w:type="dxa"/>
            <w:vAlign w:val="center"/>
          </w:tcPr>
          <w:p>
            <w:pPr>
              <w:widowControl/>
              <w:jc w:val="left"/>
              <w:rPr>
                <w:rFonts w:ascii="宋体" w:hAnsi="宋体" w:cs="宋体"/>
                <w:kern w:val="0"/>
                <w:sz w:val="24"/>
              </w:rPr>
            </w:pPr>
            <w:r>
              <w:rPr>
                <w:rFonts w:hint="eastAsia" w:ascii="宋体" w:hAnsi="宋体" w:cs="宋体"/>
                <w:sz w:val="24"/>
              </w:rPr>
              <w:t>记录和</w:t>
            </w:r>
            <w:r>
              <w:rPr>
                <w:rFonts w:hint="eastAsia" w:ascii="宋体" w:hAnsi="宋体" w:cs="宋体"/>
                <w:kern w:val="0"/>
                <w:sz w:val="24"/>
              </w:rPr>
              <w:t>查看患者已执行输液医嘱的操作明细情况，支持打印</w:t>
            </w:r>
            <w:r>
              <w:rPr>
                <w:rFonts w:hint="eastAsia" w:ascii="宋体" w:hAnsi="宋体" w:cs="宋体"/>
                <w:sz w:val="24"/>
              </w:rPr>
              <w:t>可结合PC端系统实现）。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 xml:space="preserve">医嘱补执行 </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因某种原因，护士对患者用药未能通过无线护理设备执行，可进行补录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 xml:space="preserve">输液执行单查询、打印 </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按照医嘱对患者输液用药进行输液执行单的查询、打印</w:t>
            </w:r>
            <w:r>
              <w:rPr>
                <w:rFonts w:hint="eastAsia" w:ascii="宋体" w:hAnsi="宋体" w:cs="宋体"/>
                <w:sz w:val="24"/>
              </w:rPr>
              <w:t>可结合PC端系统实现）。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执行结果回写</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将输液医嘱执行结果回写至HIS等系统中</w:t>
            </w:r>
            <w:r>
              <w:rPr>
                <w:rFonts w:hint="eastAsia" w:ascii="宋体" w:hAnsi="宋体" w:cs="宋体"/>
                <w:kern w:val="0"/>
                <w:sz w:val="24"/>
                <w:lang w:eastAsia="zh-CN"/>
              </w:rPr>
              <w:t>，同时临时医嘱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restart"/>
            <w:vAlign w:val="center"/>
          </w:tcPr>
          <w:p>
            <w:pPr>
              <w:widowControl/>
              <w:jc w:val="center"/>
              <w:rPr>
                <w:rFonts w:ascii="宋体" w:hAnsi="宋体" w:cs="宋体"/>
                <w:kern w:val="0"/>
                <w:sz w:val="24"/>
              </w:rPr>
            </w:pPr>
            <w:r>
              <w:rPr>
                <w:rFonts w:hint="eastAsia" w:ascii="宋体" w:hAnsi="宋体" w:cs="宋体"/>
                <w:kern w:val="0"/>
                <w:sz w:val="24"/>
              </w:rPr>
              <w:t>针剂用药医嘱闭环</w:t>
            </w:r>
          </w:p>
        </w:tc>
        <w:tc>
          <w:tcPr>
            <w:tcW w:w="1906" w:type="dxa"/>
            <w:vAlign w:val="center"/>
          </w:tcPr>
          <w:p>
            <w:pPr>
              <w:widowControl/>
              <w:jc w:val="left"/>
              <w:rPr>
                <w:rFonts w:ascii="宋体" w:hAnsi="宋体" w:cs="宋体"/>
                <w:kern w:val="0"/>
                <w:sz w:val="24"/>
              </w:rPr>
            </w:pPr>
            <w:r>
              <w:rPr>
                <w:rFonts w:hint="eastAsia" w:ascii="宋体" w:hAnsi="宋体" w:cs="宋体"/>
                <w:kern w:val="0"/>
                <w:sz w:val="24"/>
              </w:rPr>
              <w:t>医嘱拆分之针剂标签打印</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病区配液的模式中，应当与住院电子医嘱对接，按给定的时间频度和医嘱有效期，将医嘱按照频次拆分后，产生输液类医嘱的瓶签，瓶签信息包括：床号、患者姓名、用药方式、频度代码、用药日期、当天第几次用药、药物名称、剂量、单位、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针剂医嘱执行</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采用医嘱执行列表勾选提交执行，或者扫描病人腕带提交执行，复核用药和对应患者，当两者匹配后继续用药（同时记录用药时间和用药人）；如不匹配进行提醒。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 xml:space="preserve">医嘱补执行 </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因某种原因，护士对患者用药未能通过无线护理设备执行，可进行补录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hint="eastAsia" w:ascii="宋体" w:hAnsi="宋体" w:cs="宋体"/>
                <w:kern w:val="0"/>
                <w:sz w:val="24"/>
                <w:highlight w:val="none"/>
              </w:rPr>
            </w:pPr>
            <w:r>
              <w:rPr>
                <w:rFonts w:hint="eastAsia" w:ascii="宋体" w:hAnsi="宋体" w:cs="宋体"/>
                <w:kern w:val="0"/>
                <w:sz w:val="24"/>
                <w:highlight w:val="none"/>
              </w:rPr>
              <w:t>皮试医嘱结果核对</w:t>
            </w:r>
          </w:p>
        </w:tc>
        <w:tc>
          <w:tcPr>
            <w:tcW w:w="6455" w:type="dxa"/>
            <w:vAlign w:val="center"/>
          </w:tcPr>
          <w:p>
            <w:pPr>
              <w:widowControl/>
              <w:jc w:val="left"/>
              <w:rPr>
                <w:rFonts w:hint="eastAsia" w:ascii="宋体" w:hAnsi="宋体" w:cs="宋体"/>
                <w:kern w:val="0"/>
                <w:sz w:val="24"/>
                <w:highlight w:val="none"/>
              </w:rPr>
            </w:pPr>
            <w:r>
              <w:rPr>
                <w:rFonts w:hint="eastAsia" w:ascii="宋体" w:hAnsi="宋体" w:cs="宋体"/>
                <w:kern w:val="0"/>
                <w:sz w:val="24"/>
                <w:highlight w:val="none"/>
              </w:rPr>
              <w:t>皮试结果由两名医护人员核对，护理系统记录皮试核对人、核对时间、皮试结果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hint="eastAsia" w:ascii="宋体" w:hAnsi="宋体" w:cs="宋体"/>
                <w:kern w:val="0"/>
                <w:sz w:val="24"/>
                <w:highlight w:val="none"/>
              </w:rPr>
            </w:pPr>
            <w:r>
              <w:rPr>
                <w:rFonts w:hint="eastAsia" w:ascii="宋体" w:hAnsi="宋体" w:cs="宋体"/>
                <w:kern w:val="0"/>
                <w:sz w:val="24"/>
                <w:highlight w:val="none"/>
              </w:rPr>
              <w:t>皮试阳性提醒</w:t>
            </w:r>
          </w:p>
        </w:tc>
        <w:tc>
          <w:tcPr>
            <w:tcW w:w="6455" w:type="dxa"/>
            <w:vAlign w:val="center"/>
          </w:tcPr>
          <w:p>
            <w:pPr>
              <w:widowControl/>
              <w:jc w:val="left"/>
              <w:rPr>
                <w:rFonts w:hint="eastAsia" w:ascii="宋体" w:hAnsi="宋体" w:cs="宋体"/>
                <w:kern w:val="0"/>
                <w:sz w:val="24"/>
                <w:highlight w:val="none"/>
              </w:rPr>
            </w:pPr>
            <w:r>
              <w:rPr>
                <w:rFonts w:hint="eastAsia" w:ascii="宋体" w:hAnsi="宋体" w:cs="宋体"/>
                <w:kern w:val="0"/>
                <w:sz w:val="24"/>
                <w:highlight w:val="none"/>
              </w:rPr>
              <w:t>皮试结果阳性，相应药物医嘱执行时智能提醒或禁止执行。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针剂医嘱执行结果回写</w:t>
            </w:r>
          </w:p>
        </w:tc>
        <w:tc>
          <w:tcPr>
            <w:tcW w:w="6455" w:type="dxa"/>
            <w:vAlign w:val="center"/>
          </w:tcPr>
          <w:p>
            <w:pPr>
              <w:widowControl/>
              <w:jc w:val="left"/>
              <w:rPr>
                <w:rFonts w:hint="eastAsia" w:ascii="宋体" w:hAnsi="宋体" w:eastAsia="宋体" w:cs="宋体"/>
                <w:kern w:val="0"/>
                <w:sz w:val="24"/>
                <w:lang w:eastAsia="zh-CN"/>
              </w:rPr>
            </w:pPr>
            <w:r>
              <w:rPr>
                <w:rFonts w:hint="eastAsia" w:ascii="宋体" w:hAnsi="宋体" w:cs="宋体"/>
                <w:kern w:val="0"/>
                <w:sz w:val="24"/>
              </w:rPr>
              <w:t>将针剂医嘱执行结果回写至HIS等系统中</w:t>
            </w:r>
            <w:r>
              <w:rPr>
                <w:rFonts w:hint="eastAsia" w:ascii="宋体" w:hAnsi="宋体" w:cs="宋体"/>
                <w:kern w:val="0"/>
                <w:sz w:val="24"/>
                <w:lang w:eastAsia="zh-CN"/>
              </w:rPr>
              <w:t>，同时临时医嘱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针剂执行单查询、打印</w:t>
            </w:r>
          </w:p>
        </w:tc>
        <w:tc>
          <w:tcPr>
            <w:tcW w:w="6455" w:type="dxa"/>
            <w:vAlign w:val="center"/>
          </w:tcPr>
          <w:p>
            <w:pPr>
              <w:widowControl/>
              <w:jc w:val="left"/>
              <w:rPr>
                <w:rFonts w:ascii="宋体" w:hAnsi="宋体" w:cs="宋体"/>
                <w:kern w:val="0"/>
                <w:sz w:val="24"/>
              </w:rPr>
            </w:pPr>
            <w:r>
              <w:rPr>
                <w:rFonts w:hint="eastAsia" w:ascii="宋体" w:hAnsi="宋体" w:cs="宋体"/>
                <w:sz w:val="24"/>
              </w:rPr>
              <w:t>记录和</w:t>
            </w:r>
            <w:r>
              <w:rPr>
                <w:rFonts w:hint="eastAsia" w:ascii="宋体" w:hAnsi="宋体" w:cs="宋体"/>
                <w:kern w:val="0"/>
                <w:sz w:val="24"/>
              </w:rPr>
              <w:t>查看护士对于患者针剂医嘱执行的相关记录，用于责任追溯医嘱执行记录包括用药时间、用药人、异常记录等，支持打印</w:t>
            </w:r>
            <w:r>
              <w:rPr>
                <w:rFonts w:hint="eastAsia" w:ascii="宋体" w:hAnsi="宋体" w:cs="宋体"/>
                <w:sz w:val="24"/>
              </w:rPr>
              <w:t>（可结合PC端系统实现）。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restart"/>
            <w:vAlign w:val="center"/>
          </w:tcPr>
          <w:p>
            <w:pPr>
              <w:widowControl/>
              <w:jc w:val="center"/>
              <w:rPr>
                <w:rFonts w:ascii="宋体" w:hAnsi="宋体" w:cs="宋体"/>
                <w:kern w:val="0"/>
                <w:sz w:val="24"/>
              </w:rPr>
            </w:pPr>
            <w:r>
              <w:rPr>
                <w:rFonts w:hint="eastAsia" w:ascii="宋体" w:hAnsi="宋体" w:cs="宋体"/>
                <w:kern w:val="0"/>
                <w:sz w:val="24"/>
              </w:rPr>
              <w:t>口服药闭环</w:t>
            </w:r>
          </w:p>
        </w:tc>
        <w:tc>
          <w:tcPr>
            <w:tcW w:w="1906" w:type="dxa"/>
            <w:vAlign w:val="center"/>
          </w:tcPr>
          <w:p>
            <w:pPr>
              <w:widowControl/>
              <w:jc w:val="left"/>
              <w:rPr>
                <w:rFonts w:ascii="宋体" w:hAnsi="宋体" w:cs="宋体"/>
                <w:kern w:val="0"/>
                <w:sz w:val="24"/>
              </w:rPr>
            </w:pPr>
            <w:r>
              <w:rPr>
                <w:rFonts w:hint="eastAsia" w:ascii="宋体" w:hAnsi="宋体" w:cs="宋体"/>
                <w:kern w:val="0"/>
                <w:sz w:val="24"/>
              </w:rPr>
              <w:t>病区收药</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在药房自动包药机包装口服药的模式中，护理系统和自动包药机系统对接，病区按配送批次接收药品，并记录接收批次、批次实际药品总数、接收人、接收时间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医嘱执行之口服药用药核对</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 xml:space="preserve">护理人员在口服药医嘱执行前首先扫描口服药签上的条码，再扫描患者腕带条码，当两者匹配后继续用药（同时记录用药时间和用药人）；如不匹配进行提醒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 xml:space="preserve">口服药执行单查询、打印 </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查看护士对于患者口服医嘱执行的相关记录，用于责任追溯医嘱执行记录包括用药时间、用药人等，支持打印</w:t>
            </w:r>
            <w:r>
              <w:rPr>
                <w:rFonts w:hint="eastAsia" w:ascii="宋体" w:hAnsi="宋体" w:cs="宋体"/>
                <w:sz w:val="24"/>
              </w:rPr>
              <w:t>（可结合PC端系统实现）。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 xml:space="preserve">医嘱补执行 </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因某种原因，护士对患者用药未能通过无线护理设备执行，可进行补录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口服药执行结果回写</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将口服药执行结果回写至HIS等系统中</w:t>
            </w:r>
            <w:r>
              <w:rPr>
                <w:rFonts w:hint="eastAsia" w:ascii="宋体" w:hAnsi="宋体" w:cs="宋体"/>
                <w:kern w:val="0"/>
                <w:sz w:val="24"/>
                <w:lang w:eastAsia="zh-CN"/>
              </w:rPr>
              <w:t>，同时临时医嘱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restart"/>
            <w:vAlign w:val="center"/>
          </w:tcPr>
          <w:p>
            <w:pPr>
              <w:widowControl/>
              <w:jc w:val="center"/>
              <w:rPr>
                <w:rFonts w:ascii="宋体" w:hAnsi="宋体" w:cs="宋体"/>
                <w:kern w:val="0"/>
                <w:sz w:val="24"/>
              </w:rPr>
            </w:pPr>
            <w:r>
              <w:rPr>
                <w:rFonts w:hint="eastAsia" w:ascii="宋体" w:hAnsi="宋体" w:cs="宋体"/>
                <w:kern w:val="0"/>
                <w:sz w:val="24"/>
              </w:rPr>
              <w:t>检验医嘱闭环</w:t>
            </w:r>
          </w:p>
        </w:tc>
        <w:tc>
          <w:tcPr>
            <w:tcW w:w="1906" w:type="dxa"/>
            <w:vAlign w:val="center"/>
          </w:tcPr>
          <w:p>
            <w:pPr>
              <w:widowControl/>
              <w:jc w:val="left"/>
              <w:rPr>
                <w:rFonts w:ascii="宋体" w:hAnsi="宋体" w:cs="宋体"/>
                <w:kern w:val="0"/>
                <w:sz w:val="24"/>
              </w:rPr>
            </w:pPr>
            <w:r>
              <w:rPr>
                <w:rFonts w:hint="eastAsia" w:ascii="宋体" w:hAnsi="宋体" w:cs="宋体"/>
                <w:kern w:val="0"/>
                <w:sz w:val="24"/>
              </w:rPr>
              <w:t>标本采集</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护理人员在检验样本采集前首先扫描检验条码，再扫描患者腕带条码，当两者匹配后继续采集，记录采集人、采集时间；如不匹配进行提醒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标本送收</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护理人员完成采集后交接给护工送至检验科，检验科接收样本记录各个环节执行人及执行时间，支持追溯过程的查询统计及报表打印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标本采集执行单</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根据标本采集流程（采集、送检、接收）生成可追溯的采集记录，可根据不同查询条件进行记录查询及标本采集执行记录，支持打印</w:t>
            </w:r>
            <w:r>
              <w:rPr>
                <w:rFonts w:hint="eastAsia" w:ascii="宋体" w:hAnsi="宋体" w:cs="宋体"/>
                <w:sz w:val="24"/>
              </w:rPr>
              <w:t>（可结合PC端系统实现）。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采集信息回写</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将标本采集信息回写至HIS等系统中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restart"/>
            <w:vAlign w:val="center"/>
          </w:tcPr>
          <w:p>
            <w:pPr>
              <w:widowControl/>
              <w:jc w:val="center"/>
              <w:rPr>
                <w:rFonts w:ascii="宋体" w:hAnsi="宋体" w:cs="宋体"/>
                <w:kern w:val="0"/>
                <w:sz w:val="24"/>
              </w:rPr>
            </w:pPr>
            <w:r>
              <w:rPr>
                <w:rFonts w:hint="eastAsia" w:ascii="宋体" w:hAnsi="宋体" w:cs="宋体"/>
                <w:kern w:val="0"/>
                <w:sz w:val="24"/>
              </w:rPr>
              <w:t>输血医嘱执行</w:t>
            </w:r>
          </w:p>
        </w:tc>
        <w:tc>
          <w:tcPr>
            <w:tcW w:w="1906" w:type="dxa"/>
            <w:vAlign w:val="center"/>
          </w:tcPr>
          <w:p>
            <w:pPr>
              <w:widowControl/>
              <w:jc w:val="left"/>
              <w:rPr>
                <w:rFonts w:ascii="宋体" w:hAnsi="宋体" w:cs="宋体"/>
                <w:kern w:val="0"/>
                <w:sz w:val="24"/>
              </w:rPr>
            </w:pPr>
            <w:r>
              <w:rPr>
                <w:rFonts w:hint="eastAsia" w:ascii="宋体" w:hAnsi="宋体" w:cs="宋体"/>
                <w:kern w:val="0"/>
                <w:sz w:val="24"/>
              </w:rPr>
              <w:t>输血前核对</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输血前由两名医护人员核对交叉配血报告单及血袋标签各项内容，检查血袋有无破损渗漏，血液颜色是否正常，准确无误后，护理系统记录输血前核对人、核对时间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输血执行核对</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 xml:space="preserve">输血前由两名医护人员核对交叉配血报告单及血袋标签各项内容，检查血袋有无破损渗漏，血液颜色是否正常，准确无误后，扫描输血药袋上的条码，再扫描患者腕带条码，当两者匹配后继续输血（同时记录核对时间、核对人，输血时间、输血人）；如不匹配进行提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输血巡视</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对执行输血患者情况的查看及一般情况的基本操作，包括暂停，继续，终止，录入异常情况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输血执行单</w:t>
            </w:r>
          </w:p>
        </w:tc>
        <w:tc>
          <w:tcPr>
            <w:tcW w:w="6455" w:type="dxa"/>
            <w:vAlign w:val="center"/>
          </w:tcPr>
          <w:p>
            <w:pPr>
              <w:widowControl/>
              <w:jc w:val="left"/>
              <w:rPr>
                <w:rFonts w:ascii="宋体" w:hAnsi="宋体" w:cs="宋体"/>
                <w:kern w:val="0"/>
                <w:sz w:val="24"/>
              </w:rPr>
            </w:pPr>
            <w:r>
              <w:rPr>
                <w:rFonts w:hint="eastAsia" w:ascii="宋体" w:hAnsi="宋体" w:cs="宋体"/>
                <w:sz w:val="24"/>
              </w:rPr>
              <w:t>记录和</w:t>
            </w:r>
            <w:r>
              <w:rPr>
                <w:rFonts w:hint="eastAsia" w:ascii="宋体" w:hAnsi="宋体" w:cs="宋体"/>
                <w:kern w:val="0"/>
                <w:sz w:val="24"/>
              </w:rPr>
              <w:t>查看护士对于患者输血执行的相关记录，用于责任追溯输血执行记录包括核对时间、核对人，输血时间、输血人、异常记录等，支持打印</w:t>
            </w:r>
            <w:r>
              <w:rPr>
                <w:rFonts w:hint="eastAsia" w:ascii="宋体" w:hAnsi="宋体" w:cs="宋体"/>
                <w:sz w:val="24"/>
              </w:rPr>
              <w:t>（可结合PC端系统实现）。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输血执行结果回写</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将输血医嘱执行结果回写至HIS等系统中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restart"/>
            <w:vAlign w:val="center"/>
          </w:tcPr>
          <w:p>
            <w:pPr>
              <w:widowControl/>
              <w:jc w:val="center"/>
              <w:rPr>
                <w:rFonts w:ascii="宋体" w:hAnsi="宋体" w:cs="宋体"/>
                <w:kern w:val="0"/>
                <w:sz w:val="24"/>
              </w:rPr>
            </w:pPr>
            <w:r>
              <w:rPr>
                <w:rFonts w:hint="eastAsia" w:ascii="宋体" w:hAnsi="宋体" w:cs="宋体"/>
                <w:kern w:val="0"/>
                <w:sz w:val="24"/>
              </w:rPr>
              <w:t>护理医嘱执行</w:t>
            </w:r>
          </w:p>
        </w:tc>
        <w:tc>
          <w:tcPr>
            <w:tcW w:w="1906" w:type="dxa"/>
            <w:vAlign w:val="center"/>
          </w:tcPr>
          <w:p>
            <w:pPr>
              <w:widowControl/>
              <w:jc w:val="left"/>
              <w:rPr>
                <w:rFonts w:ascii="宋体" w:hAnsi="宋体" w:cs="宋体"/>
                <w:kern w:val="0"/>
                <w:sz w:val="24"/>
              </w:rPr>
            </w:pPr>
            <w:r>
              <w:rPr>
                <w:rFonts w:hint="eastAsia" w:ascii="宋体" w:hAnsi="宋体" w:cs="宋体"/>
                <w:kern w:val="0"/>
                <w:sz w:val="24"/>
              </w:rPr>
              <w:t>护理医嘱执行</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护理人员扫描患者腕带，列出该患者需要执行的护理医嘱（小治疗），护理人员点选其中一条，表明已经执行，可计入工作量；或扫描病人腕带提交执行。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center"/>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sz w:val="24"/>
              </w:rPr>
              <w:t>护理医嘱记录</w:t>
            </w:r>
          </w:p>
        </w:tc>
        <w:tc>
          <w:tcPr>
            <w:tcW w:w="6455" w:type="dxa"/>
            <w:vAlign w:val="center"/>
          </w:tcPr>
          <w:p>
            <w:pPr>
              <w:widowControl/>
              <w:jc w:val="left"/>
              <w:rPr>
                <w:rFonts w:ascii="宋体" w:hAnsi="宋体" w:cs="宋体"/>
                <w:kern w:val="0"/>
                <w:sz w:val="24"/>
              </w:rPr>
            </w:pPr>
            <w:r>
              <w:rPr>
                <w:rFonts w:hint="eastAsia" w:ascii="宋体" w:hAnsi="宋体" w:cs="宋体"/>
                <w:sz w:val="24"/>
              </w:rPr>
              <w:t>根据长期或临时、时间和床号等条件查询护理医嘱记录并打印，显示护士根据医嘱和病情对患者在住院期间的护理过程的记录。（可结合PC端系统实现）。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护理医嘱执行结果回写</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将护理医嘱执行结果回写至HIS等系统中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治疗单查询、打印</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查看护士对于患者护理医嘱执行的相关记录，用于责任追溯医嘱执行记录包括执行时间、执行人等，支持打印</w:t>
            </w:r>
            <w:r>
              <w:rPr>
                <w:rFonts w:hint="eastAsia" w:ascii="宋体" w:hAnsi="宋体" w:cs="宋体"/>
                <w:sz w:val="24"/>
              </w:rPr>
              <w:t>（可结合PC端系统实现）。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restart"/>
            <w:vAlign w:val="center"/>
          </w:tcPr>
          <w:p>
            <w:pPr>
              <w:widowControl/>
              <w:jc w:val="center"/>
              <w:rPr>
                <w:rFonts w:ascii="宋体" w:hAnsi="宋体" w:cs="宋体"/>
                <w:kern w:val="0"/>
                <w:sz w:val="24"/>
              </w:rPr>
            </w:pPr>
            <w:r>
              <w:rPr>
                <w:rFonts w:hint="eastAsia" w:ascii="宋体" w:hAnsi="宋体" w:cs="宋体"/>
                <w:kern w:val="0"/>
                <w:sz w:val="24"/>
              </w:rPr>
              <w:t>医嘱执行提示</w:t>
            </w:r>
          </w:p>
        </w:tc>
        <w:tc>
          <w:tcPr>
            <w:tcW w:w="1906" w:type="dxa"/>
            <w:vAlign w:val="center"/>
          </w:tcPr>
          <w:p>
            <w:pPr>
              <w:widowControl/>
              <w:jc w:val="left"/>
              <w:rPr>
                <w:rFonts w:ascii="宋体" w:hAnsi="宋体" w:cs="宋体"/>
                <w:kern w:val="0"/>
                <w:sz w:val="24"/>
              </w:rPr>
            </w:pPr>
            <w:r>
              <w:rPr>
                <w:rFonts w:hint="eastAsia" w:ascii="宋体" w:hAnsi="宋体" w:cs="宋体"/>
                <w:kern w:val="0"/>
                <w:sz w:val="24"/>
              </w:rPr>
              <w:t>高危药品执行提示</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护理人员在执行高危药品时，系统能智能提醒，可强制双人核对后才能执行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配置药品过期提示</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护理人员在执行配置超过特定时间（如4小时）的无菌药品时，系统会智能提示拦截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执行超时提示</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系统能对超过计划执行时间2小时（具体时间可以根据医院管理要求配置）的医嘱记录进行智能提示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restart"/>
            <w:vAlign w:val="center"/>
          </w:tcPr>
          <w:p>
            <w:pPr>
              <w:widowControl/>
              <w:jc w:val="center"/>
              <w:rPr>
                <w:rFonts w:ascii="宋体" w:hAnsi="宋体" w:cs="宋体"/>
                <w:kern w:val="0"/>
                <w:sz w:val="24"/>
              </w:rPr>
            </w:pPr>
            <w:r>
              <w:rPr>
                <w:rFonts w:hint="eastAsia" w:ascii="宋体" w:hAnsi="宋体" w:cs="宋体"/>
                <w:kern w:val="0"/>
                <w:sz w:val="24"/>
              </w:rPr>
              <w:t>医嘱执行统计管理</w:t>
            </w:r>
          </w:p>
        </w:tc>
        <w:tc>
          <w:tcPr>
            <w:tcW w:w="1906" w:type="dxa"/>
            <w:vAlign w:val="center"/>
          </w:tcPr>
          <w:p>
            <w:pPr>
              <w:widowControl/>
              <w:jc w:val="left"/>
              <w:rPr>
                <w:rFonts w:ascii="宋体" w:hAnsi="宋体" w:cs="宋体"/>
                <w:kern w:val="0"/>
                <w:sz w:val="24"/>
              </w:rPr>
            </w:pPr>
            <w:r>
              <w:rPr>
                <w:rFonts w:hint="eastAsia" w:ascii="宋体" w:hAnsi="宋体" w:cs="宋体"/>
                <w:kern w:val="0"/>
                <w:sz w:val="24"/>
              </w:rPr>
              <w:t>合理给药统计</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系统对提前（或者延后）计划执行时间特定时间的医嘱执行记录进行智能汇总统计，并计算病区特定时段里给药时间符合率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医嘱执行工作量统计</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统计病区、病区各护理人员特定时段内完成医嘱执行数量</w:t>
            </w:r>
          </w:p>
        </w:tc>
      </w:tr>
    </w:tbl>
    <w:p>
      <w:pPr>
        <w:widowControl/>
        <w:jc w:val="center"/>
        <w:rPr>
          <w:rFonts w:ascii="宋体" w:hAnsi="宋体" w:cs="宋体"/>
          <w:kern w:val="0"/>
          <w:sz w:val="24"/>
        </w:rPr>
      </w:pPr>
    </w:p>
    <w:tbl>
      <w:tblPr>
        <w:tblStyle w:val="47"/>
        <w:tblpPr w:leftFromText="180" w:rightFromText="180" w:vertAnchor="text" w:horzAnchor="page" w:tblpX="1412" w:tblpY="1"/>
        <w:tblOverlap w:val="never"/>
        <w:tblW w:w="9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1906"/>
        <w:gridCol w:w="6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restart"/>
            <w:vAlign w:val="center"/>
          </w:tcPr>
          <w:p>
            <w:pPr>
              <w:widowControl/>
              <w:jc w:val="center"/>
              <w:rPr>
                <w:rFonts w:ascii="宋体" w:hAnsi="宋体" w:cs="宋体"/>
                <w:kern w:val="0"/>
                <w:sz w:val="24"/>
              </w:rPr>
            </w:pPr>
            <w:r>
              <w:rPr>
                <w:rFonts w:hint="eastAsia" w:ascii="宋体" w:hAnsi="宋体" w:cs="宋体"/>
                <w:kern w:val="0"/>
                <w:sz w:val="24"/>
              </w:rPr>
              <w:t>▲生命体征管理（与PC端系统深度融合且可以互操作）</w:t>
            </w:r>
          </w:p>
        </w:tc>
        <w:tc>
          <w:tcPr>
            <w:tcW w:w="1906" w:type="dxa"/>
            <w:vAlign w:val="center"/>
          </w:tcPr>
          <w:p>
            <w:pPr>
              <w:widowControl/>
              <w:jc w:val="left"/>
              <w:rPr>
                <w:rFonts w:ascii="宋体" w:hAnsi="宋体" w:cs="宋体"/>
                <w:kern w:val="0"/>
                <w:sz w:val="24"/>
              </w:rPr>
            </w:pPr>
            <w:r>
              <w:rPr>
                <w:rFonts w:hint="eastAsia" w:ascii="宋体" w:hAnsi="宋体" w:cs="宋体"/>
                <w:kern w:val="0"/>
                <w:sz w:val="24"/>
              </w:rPr>
              <w:t>体征录入</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患者体征信息的床旁实时采集，采集体征信息包括:  体温、脉搏、呼吸、心率、出入液量、血氧饱和度、血压、血糖、身高、疼痛、各种引流管、体重、排便次数等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体征批量录入</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根据批量采集的患者体征信息，批量录入到系统中，生成体温单，并可进行体温单打印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体温单</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针对录入的体征信息，按卫生部规定的体温单格式输出，可进行修改、预览、打印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对外接口</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提供取数结构，供第三方系统调用，以使第三方系统获取护理体征数据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体征异常查询</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查询时间段内体征异常的患者信息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体征趋势图</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动态查询患者生命体征、能显示单个生命体征某时段的趋势图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漏测查询</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查询大便，体重，血压，体温等体征的漏测信息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录入数据校验</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判别录入数据是否符合要求（如体温只能录入数字）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满页提醒</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当患者的体温单满页时，提供满页提醒标志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体征异常提醒</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智能提醒用户病区内体征异常患者信息，并给予相对应的护理措施提示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体征采集系统</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如接入体征采集系统，则能够自动从体征采集系统提取设备数据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体征采集任务列表</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提醒护士体征采集任务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体征数据互操作</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体征数据写入PC端系统后，如PC端系统有修正，需同步至移动护理系统中</w:t>
            </w:r>
          </w:p>
        </w:tc>
      </w:tr>
    </w:tbl>
    <w:p>
      <w:pPr>
        <w:widowControl/>
        <w:jc w:val="center"/>
        <w:rPr>
          <w:rFonts w:ascii="宋体" w:hAnsi="宋体" w:cs="宋体"/>
          <w:kern w:val="0"/>
          <w:sz w:val="24"/>
        </w:rPr>
      </w:pPr>
    </w:p>
    <w:tbl>
      <w:tblPr>
        <w:tblStyle w:val="47"/>
        <w:tblpPr w:leftFromText="180" w:rightFromText="180" w:vertAnchor="text" w:horzAnchor="page" w:tblpX="1412" w:tblpY="1"/>
        <w:tblOverlap w:val="never"/>
        <w:tblW w:w="9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1906"/>
        <w:gridCol w:w="6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Align w:val="center"/>
          </w:tcPr>
          <w:p>
            <w:pPr>
              <w:widowControl/>
              <w:jc w:val="center"/>
              <w:rPr>
                <w:rFonts w:ascii="宋体" w:hAnsi="宋体" w:cs="宋体"/>
                <w:kern w:val="0"/>
                <w:sz w:val="24"/>
              </w:rPr>
            </w:pPr>
            <w:r>
              <w:rPr>
                <w:rFonts w:hint="eastAsia" w:ascii="宋体" w:hAnsi="宋体" w:cs="宋体"/>
                <w:kern w:val="0"/>
                <w:sz w:val="24"/>
              </w:rPr>
              <w:t>临床报告</w:t>
            </w:r>
          </w:p>
        </w:tc>
        <w:tc>
          <w:tcPr>
            <w:tcW w:w="1906" w:type="dxa"/>
            <w:vAlign w:val="center"/>
          </w:tcPr>
          <w:p>
            <w:pPr>
              <w:widowControl/>
              <w:jc w:val="left"/>
              <w:rPr>
                <w:rFonts w:ascii="宋体" w:hAnsi="宋体" w:cs="宋体"/>
                <w:kern w:val="0"/>
                <w:sz w:val="24"/>
              </w:rPr>
            </w:pPr>
            <w:r>
              <w:rPr>
                <w:rFonts w:hint="eastAsia" w:ascii="宋体" w:hAnsi="宋体" w:cs="宋体"/>
                <w:kern w:val="0"/>
                <w:sz w:val="24"/>
              </w:rPr>
              <w:t>检查检验报告查看</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查看住院患者的检查检验报告对危急值进行警示，并支持危急值闭环处理</w:t>
            </w:r>
          </w:p>
        </w:tc>
      </w:tr>
    </w:tbl>
    <w:p>
      <w:pPr>
        <w:widowControl/>
        <w:jc w:val="center"/>
        <w:rPr>
          <w:rFonts w:ascii="宋体" w:hAnsi="宋体" w:cs="宋体"/>
          <w:kern w:val="0"/>
          <w:sz w:val="24"/>
        </w:rPr>
      </w:pPr>
    </w:p>
    <w:p>
      <w:pPr>
        <w:widowControl/>
        <w:jc w:val="left"/>
        <w:rPr>
          <w:rFonts w:ascii="宋体" w:hAnsi="宋体" w:cs="宋体"/>
          <w:kern w:val="0"/>
          <w:sz w:val="24"/>
        </w:rPr>
      </w:pPr>
    </w:p>
    <w:p>
      <w:pPr>
        <w:spacing w:line="360" w:lineRule="auto"/>
        <w:ind w:left="-1365" w:leftChars="-650" w:firstLine="482" w:firstLineChars="200"/>
        <w:rPr>
          <w:rFonts w:ascii="宋体" w:hAnsi="宋体" w:cs="宋体"/>
          <w:b/>
          <w:sz w:val="24"/>
        </w:rPr>
      </w:pPr>
    </w:p>
    <w:p>
      <w:pPr>
        <w:spacing w:line="360" w:lineRule="auto"/>
        <w:ind w:left="-1365" w:leftChars="-650" w:firstLine="482" w:firstLineChars="200"/>
        <w:rPr>
          <w:rFonts w:ascii="宋体" w:hAnsi="宋体" w:cs="宋体"/>
          <w:b/>
          <w:sz w:val="24"/>
        </w:rPr>
      </w:pPr>
    </w:p>
    <w:p>
      <w:pPr>
        <w:spacing w:line="360" w:lineRule="auto"/>
        <w:ind w:left="-1365" w:leftChars="-650" w:firstLine="482" w:firstLineChars="200"/>
        <w:rPr>
          <w:rFonts w:ascii="宋体" w:hAnsi="宋体" w:cs="宋体"/>
          <w:b/>
          <w:sz w:val="24"/>
        </w:rPr>
      </w:pPr>
    </w:p>
    <w:p>
      <w:pPr>
        <w:spacing w:line="360" w:lineRule="auto"/>
        <w:ind w:left="-1365" w:leftChars="-650" w:firstLine="482" w:firstLineChars="200"/>
        <w:rPr>
          <w:rFonts w:ascii="宋体" w:hAnsi="宋体" w:cs="宋体"/>
          <w:b/>
          <w:sz w:val="24"/>
        </w:rPr>
      </w:pPr>
    </w:p>
    <w:p>
      <w:pPr>
        <w:spacing w:line="360" w:lineRule="auto"/>
        <w:ind w:left="-1365" w:leftChars="-650" w:firstLine="482" w:firstLineChars="200"/>
        <w:rPr>
          <w:rFonts w:ascii="宋体" w:hAnsi="宋体" w:cs="宋体"/>
          <w:b/>
          <w:sz w:val="24"/>
        </w:rPr>
      </w:pPr>
    </w:p>
    <w:p>
      <w:pPr>
        <w:spacing w:line="360" w:lineRule="auto"/>
        <w:ind w:left="-1365" w:leftChars="-650" w:firstLine="482" w:firstLineChars="200"/>
        <w:rPr>
          <w:rFonts w:ascii="宋体" w:hAnsi="宋体" w:cs="宋体"/>
          <w:b/>
          <w:sz w:val="24"/>
        </w:rPr>
      </w:pPr>
    </w:p>
    <w:p>
      <w:pPr>
        <w:spacing w:line="360" w:lineRule="auto"/>
        <w:ind w:left="-1365" w:leftChars="-650" w:firstLine="480" w:firstLineChars="200"/>
      </w:pPr>
      <w:r>
        <w:rPr>
          <w:rFonts w:hint="eastAsia" w:ascii="宋体" w:hAnsi="宋体" w:cs="宋体"/>
          <w:kern w:val="0"/>
          <w:sz w:val="24"/>
        </w:rPr>
        <w:t>★</w:t>
      </w:r>
      <w:r>
        <w:rPr>
          <w:rFonts w:hint="eastAsia" w:ascii="宋体" w:hAnsi="宋体" w:cs="宋体"/>
          <w:b/>
          <w:sz w:val="24"/>
        </w:rPr>
        <w:t>健康宣教</w:t>
      </w:r>
    </w:p>
    <w:tbl>
      <w:tblPr>
        <w:tblStyle w:val="47"/>
        <w:tblW w:w="9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1906"/>
        <w:gridCol w:w="6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pPr>
              <w:widowControl/>
              <w:jc w:val="left"/>
              <w:rPr>
                <w:rFonts w:ascii="宋体" w:hAnsi="宋体" w:cs="宋体"/>
                <w:kern w:val="0"/>
                <w:sz w:val="24"/>
              </w:rPr>
            </w:pPr>
            <w:r>
              <w:rPr>
                <w:rFonts w:hint="eastAsia" w:ascii="宋体" w:hAnsi="宋体" w:cs="宋体"/>
                <w:kern w:val="0"/>
                <w:sz w:val="24"/>
              </w:rPr>
              <w:t>健康宣教患者端（线上功能要融入互联网医院）</w:t>
            </w:r>
          </w:p>
        </w:tc>
        <w:tc>
          <w:tcPr>
            <w:tcW w:w="1906" w:type="dxa"/>
            <w:vAlign w:val="center"/>
          </w:tcPr>
          <w:p>
            <w:pPr>
              <w:widowControl/>
              <w:jc w:val="left"/>
              <w:rPr>
                <w:rFonts w:ascii="宋体" w:hAnsi="宋体" w:cs="宋体"/>
                <w:kern w:val="0"/>
                <w:sz w:val="24"/>
              </w:rPr>
            </w:pPr>
            <w:r>
              <w:rPr>
                <w:rFonts w:hint="eastAsia" w:ascii="宋体" w:hAnsi="宋体" w:cs="宋体"/>
                <w:kern w:val="0"/>
                <w:sz w:val="24"/>
              </w:rPr>
              <w:t>教育课程知识库</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课程支持按照入院宣教、出院宣教、安全宣教、疾病宣教、药物宣教、手术宣教、疼痛宣教、压疮宣教、饮食宣教、检查宣教、导管宣教、中医知识、护理常识、康复宣教、居家护理等进行分类，制作图文、音频、动图、视频等多种样式课程，支持课程审核机制，形成维护医院宣教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健康教育对接</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实现调取智能健教知识库内容，对患者进行手工或者自动健教教育课程推送，方便患者手机端进行阅读，获取患者阅读、反馈/疑问等状态，方便护士进行床旁教育及阅读疑问解答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教育课程手动推送</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护士可在课程库内按照多种分类方式找到想要推送的课程，推送给患者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教育课程自动推送</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提供智能宣教引擎，支持本院课程与医嘱关键词/护理问题匹配，根据关键词自动推送匹配的课程，实现智能化宣教；提供医嘱关键词/护理问题匹配库，支持医院直接应用于智能宣教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教育记录查看</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院方人员可在当前登录病区内患者列表中选择患者，展示当前选中患者所有教育记录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教育记录打印</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可以将教育记录生成教育记录单并打印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教育课程学习</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患者及其家属、护理人员可在无线护理设备/高清触摸一体机（直立大屏）/手机A</w:t>
            </w:r>
            <w:r>
              <w:rPr>
                <w:rFonts w:ascii="宋体" w:hAnsi="宋体" w:cs="宋体"/>
                <w:kern w:val="0"/>
                <w:sz w:val="24"/>
              </w:rPr>
              <w:t>PP</w:t>
            </w:r>
            <w:r>
              <w:rPr>
                <w:rFonts w:hint="eastAsia" w:ascii="宋体" w:hAnsi="宋体" w:cs="宋体"/>
                <w:kern w:val="0"/>
                <w:sz w:val="24"/>
              </w:rPr>
              <w:t>/PC端等在线观看附件或者图文类型的课程，附件课程应支持包括但不限于PPT、PDF、MP4、WORD等格式，支持从其他网络媒体（如慕课、微课等）转发的视频，对学习记录留痕。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教育课程学习记录查询</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患者可等查看个人所有的教育记录，包括课程、教育者、教育时间、教育对象、测试结果、满意度评价结果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教育课程学习效果测评</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患者可在无线护理设备等进行教育课程对应的试题测试，并看到测试结果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widowControl/>
              <w:jc w:val="left"/>
              <w:rPr>
                <w:rFonts w:ascii="宋体" w:hAnsi="宋体" w:cs="宋体"/>
                <w:kern w:val="0"/>
                <w:sz w:val="24"/>
              </w:rPr>
            </w:pPr>
          </w:p>
        </w:tc>
        <w:tc>
          <w:tcPr>
            <w:tcW w:w="1906" w:type="dxa"/>
            <w:vMerge w:val="restart"/>
            <w:vAlign w:val="center"/>
          </w:tcPr>
          <w:p>
            <w:pPr>
              <w:widowControl/>
              <w:jc w:val="left"/>
              <w:rPr>
                <w:rFonts w:ascii="宋体" w:hAnsi="宋体" w:cs="宋体"/>
                <w:kern w:val="0"/>
                <w:sz w:val="24"/>
              </w:rPr>
            </w:pPr>
            <w:r>
              <w:rPr>
                <w:rFonts w:hint="eastAsia" w:ascii="宋体" w:hAnsi="宋体" w:cs="宋体"/>
                <w:kern w:val="0"/>
                <w:sz w:val="24"/>
              </w:rPr>
              <w:t>文书端健康宣教</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患者选择：选择需要进行宣教的患者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widowControl/>
              <w:jc w:val="left"/>
              <w:rPr>
                <w:rFonts w:ascii="宋体" w:hAnsi="宋体" w:cs="宋体"/>
                <w:kern w:val="0"/>
                <w:sz w:val="24"/>
              </w:rPr>
            </w:pPr>
          </w:p>
        </w:tc>
        <w:tc>
          <w:tcPr>
            <w:tcW w:w="1906" w:type="dxa"/>
            <w:vMerge w:val="continue"/>
            <w:vAlign w:val="center"/>
          </w:tcPr>
          <w:p>
            <w:pPr>
              <w:widowControl/>
              <w:jc w:val="left"/>
              <w:rPr>
                <w:rFonts w:ascii="宋体" w:hAnsi="宋体" w:cs="宋体"/>
                <w:kern w:val="0"/>
                <w:sz w:val="24"/>
              </w:rPr>
            </w:pPr>
          </w:p>
        </w:tc>
        <w:tc>
          <w:tcPr>
            <w:tcW w:w="6455" w:type="dxa"/>
            <w:vAlign w:val="center"/>
          </w:tcPr>
          <w:p>
            <w:pPr>
              <w:widowControl/>
              <w:jc w:val="left"/>
              <w:rPr>
                <w:rFonts w:ascii="宋体" w:hAnsi="宋体" w:cs="宋体"/>
                <w:kern w:val="0"/>
                <w:sz w:val="24"/>
              </w:rPr>
            </w:pPr>
            <w:r>
              <w:rPr>
                <w:rFonts w:hint="eastAsia" w:ascii="宋体" w:hAnsi="宋体" w:cs="宋体"/>
                <w:kern w:val="0"/>
                <w:sz w:val="24"/>
              </w:rPr>
              <w:t>宣教资料选择：选择需要对该患者进行宣教的资料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widowControl/>
              <w:jc w:val="left"/>
              <w:rPr>
                <w:rFonts w:ascii="宋体" w:hAnsi="宋体" w:cs="宋体"/>
                <w:kern w:val="0"/>
                <w:sz w:val="24"/>
              </w:rPr>
            </w:pPr>
          </w:p>
        </w:tc>
        <w:tc>
          <w:tcPr>
            <w:tcW w:w="1906" w:type="dxa"/>
            <w:vMerge w:val="continue"/>
            <w:vAlign w:val="center"/>
          </w:tcPr>
          <w:p>
            <w:pPr>
              <w:widowControl/>
              <w:jc w:val="left"/>
              <w:rPr>
                <w:rFonts w:ascii="宋体" w:hAnsi="宋体" w:cs="宋体"/>
                <w:kern w:val="0"/>
                <w:sz w:val="24"/>
              </w:rPr>
            </w:pPr>
          </w:p>
        </w:tc>
        <w:tc>
          <w:tcPr>
            <w:tcW w:w="6455" w:type="dxa"/>
            <w:vAlign w:val="center"/>
          </w:tcPr>
          <w:p>
            <w:pPr>
              <w:widowControl/>
              <w:jc w:val="left"/>
              <w:rPr>
                <w:rFonts w:ascii="宋体" w:hAnsi="宋体" w:cs="宋体"/>
                <w:kern w:val="0"/>
                <w:sz w:val="24"/>
              </w:rPr>
            </w:pPr>
            <w:r>
              <w:rPr>
                <w:rFonts w:hint="eastAsia" w:ascii="宋体" w:hAnsi="宋体" w:cs="宋体"/>
                <w:kern w:val="0"/>
                <w:sz w:val="24"/>
              </w:rPr>
              <w:t>设定反馈时间：设定期望患者反馈时间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21" w:type="dxa"/>
            <w:vMerge w:val="continue"/>
            <w:vAlign w:val="center"/>
          </w:tcPr>
          <w:p>
            <w:pPr>
              <w:widowControl/>
              <w:jc w:val="left"/>
              <w:rPr>
                <w:rFonts w:ascii="宋体" w:hAnsi="宋体" w:cs="宋体"/>
                <w:kern w:val="0"/>
                <w:sz w:val="24"/>
              </w:rPr>
            </w:pPr>
          </w:p>
        </w:tc>
        <w:tc>
          <w:tcPr>
            <w:tcW w:w="1906" w:type="dxa"/>
            <w:vMerge w:val="continue"/>
            <w:vAlign w:val="center"/>
          </w:tcPr>
          <w:p>
            <w:pPr>
              <w:widowControl/>
              <w:jc w:val="left"/>
              <w:rPr>
                <w:rFonts w:ascii="宋体" w:hAnsi="宋体" w:cs="宋体"/>
                <w:kern w:val="0"/>
                <w:sz w:val="24"/>
              </w:rPr>
            </w:pPr>
          </w:p>
        </w:tc>
        <w:tc>
          <w:tcPr>
            <w:tcW w:w="6455" w:type="dxa"/>
            <w:vAlign w:val="center"/>
          </w:tcPr>
          <w:p>
            <w:pPr>
              <w:widowControl/>
              <w:jc w:val="left"/>
              <w:rPr>
                <w:rFonts w:ascii="宋体" w:hAnsi="宋体" w:cs="宋体"/>
                <w:kern w:val="0"/>
                <w:sz w:val="24"/>
              </w:rPr>
            </w:pPr>
            <w:r>
              <w:rPr>
                <w:rFonts w:hint="eastAsia" w:ascii="宋体" w:hAnsi="宋体" w:cs="宋体"/>
                <w:kern w:val="0"/>
                <w:sz w:val="24"/>
              </w:rPr>
              <w:t>患者搜索：系统支持输入患者姓名和床号进行搜索患者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widowControl/>
              <w:jc w:val="left"/>
              <w:rPr>
                <w:rFonts w:ascii="宋体" w:hAnsi="宋体" w:cs="宋体"/>
                <w:kern w:val="0"/>
                <w:sz w:val="24"/>
              </w:rPr>
            </w:pPr>
          </w:p>
        </w:tc>
        <w:tc>
          <w:tcPr>
            <w:tcW w:w="1906" w:type="dxa"/>
            <w:vMerge w:val="continue"/>
            <w:vAlign w:val="center"/>
          </w:tcPr>
          <w:p>
            <w:pPr>
              <w:widowControl/>
              <w:jc w:val="left"/>
              <w:rPr>
                <w:rFonts w:ascii="宋体" w:hAnsi="宋体" w:cs="宋体"/>
                <w:kern w:val="0"/>
                <w:sz w:val="24"/>
              </w:rPr>
            </w:pPr>
          </w:p>
        </w:tc>
        <w:tc>
          <w:tcPr>
            <w:tcW w:w="6455" w:type="dxa"/>
            <w:vAlign w:val="center"/>
          </w:tcPr>
          <w:p>
            <w:pPr>
              <w:widowControl/>
              <w:jc w:val="left"/>
              <w:rPr>
                <w:rFonts w:ascii="宋体" w:hAnsi="宋体" w:cs="宋体"/>
                <w:kern w:val="0"/>
                <w:sz w:val="24"/>
              </w:rPr>
            </w:pPr>
            <w:r>
              <w:rPr>
                <w:rFonts w:hint="eastAsia" w:ascii="宋体" w:hAnsi="宋体" w:cs="宋体"/>
                <w:kern w:val="0"/>
                <w:sz w:val="24"/>
              </w:rPr>
              <w:t>关注人员、宣教历史：患者信息卡片上和历史图标上，可以查看该患者的关注人和已宣教记录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widowControl/>
              <w:jc w:val="left"/>
              <w:rPr>
                <w:rFonts w:ascii="宋体" w:hAnsi="宋体" w:cs="宋体"/>
                <w:kern w:val="0"/>
                <w:sz w:val="24"/>
              </w:rPr>
            </w:pPr>
          </w:p>
        </w:tc>
        <w:tc>
          <w:tcPr>
            <w:tcW w:w="1906" w:type="dxa"/>
            <w:vMerge w:val="continue"/>
            <w:vAlign w:val="center"/>
          </w:tcPr>
          <w:p>
            <w:pPr>
              <w:widowControl/>
              <w:jc w:val="left"/>
              <w:rPr>
                <w:rFonts w:ascii="宋体" w:hAnsi="宋体" w:cs="宋体"/>
                <w:kern w:val="0"/>
                <w:sz w:val="24"/>
              </w:rPr>
            </w:pPr>
          </w:p>
        </w:tc>
        <w:tc>
          <w:tcPr>
            <w:tcW w:w="6455" w:type="dxa"/>
            <w:vAlign w:val="center"/>
          </w:tcPr>
          <w:p>
            <w:pPr>
              <w:widowControl/>
              <w:jc w:val="left"/>
              <w:rPr>
                <w:rFonts w:ascii="宋体" w:hAnsi="宋体" w:cs="宋体"/>
                <w:kern w:val="0"/>
                <w:sz w:val="24"/>
              </w:rPr>
            </w:pPr>
            <w:r>
              <w:rPr>
                <w:rFonts w:hint="eastAsia" w:ascii="宋体" w:hAnsi="宋体" w:cs="宋体"/>
                <w:kern w:val="0"/>
                <w:sz w:val="24"/>
              </w:rPr>
              <w:t>全选患者：患者选择的时候，支持选择当前分类下所有患者的功能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widowControl/>
              <w:jc w:val="left"/>
              <w:rPr>
                <w:rFonts w:ascii="宋体" w:hAnsi="宋体" w:cs="宋体"/>
                <w:kern w:val="0"/>
                <w:sz w:val="24"/>
              </w:rPr>
            </w:pPr>
          </w:p>
        </w:tc>
        <w:tc>
          <w:tcPr>
            <w:tcW w:w="1906" w:type="dxa"/>
            <w:vMerge w:val="restart"/>
            <w:vAlign w:val="center"/>
          </w:tcPr>
          <w:p>
            <w:pPr>
              <w:widowControl/>
              <w:jc w:val="left"/>
              <w:rPr>
                <w:rFonts w:ascii="宋体" w:hAnsi="宋体" w:cs="宋体"/>
                <w:kern w:val="0"/>
                <w:sz w:val="24"/>
              </w:rPr>
            </w:pPr>
            <w:r>
              <w:rPr>
                <w:rFonts w:hint="eastAsia" w:ascii="宋体" w:hAnsi="宋体" w:cs="宋体"/>
                <w:kern w:val="0"/>
                <w:sz w:val="24"/>
              </w:rPr>
              <w:t>文书端教材管理</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教材查看：查看教材详情内容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widowControl/>
              <w:jc w:val="left"/>
              <w:rPr>
                <w:rFonts w:ascii="宋体" w:hAnsi="宋体" w:cs="宋体"/>
                <w:kern w:val="0"/>
                <w:sz w:val="24"/>
              </w:rPr>
            </w:pPr>
          </w:p>
        </w:tc>
        <w:tc>
          <w:tcPr>
            <w:tcW w:w="1906" w:type="dxa"/>
            <w:vMerge w:val="continue"/>
            <w:vAlign w:val="center"/>
          </w:tcPr>
          <w:p>
            <w:pPr>
              <w:widowControl/>
              <w:jc w:val="left"/>
              <w:rPr>
                <w:rFonts w:ascii="宋体" w:hAnsi="宋体" w:cs="宋体"/>
                <w:kern w:val="0"/>
                <w:sz w:val="24"/>
              </w:rPr>
            </w:pPr>
          </w:p>
        </w:tc>
        <w:tc>
          <w:tcPr>
            <w:tcW w:w="6455" w:type="dxa"/>
            <w:vAlign w:val="center"/>
          </w:tcPr>
          <w:p>
            <w:pPr>
              <w:widowControl/>
              <w:jc w:val="left"/>
              <w:rPr>
                <w:rFonts w:ascii="宋体" w:hAnsi="宋体" w:cs="宋体"/>
                <w:kern w:val="0"/>
                <w:sz w:val="24"/>
              </w:rPr>
            </w:pPr>
            <w:r>
              <w:rPr>
                <w:rFonts w:hint="eastAsia" w:ascii="宋体" w:hAnsi="宋体" w:cs="宋体"/>
                <w:kern w:val="0"/>
                <w:sz w:val="24"/>
              </w:rPr>
              <w:t>编辑宣教资料：编辑修改宣教资料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widowControl/>
              <w:jc w:val="left"/>
              <w:rPr>
                <w:rFonts w:ascii="宋体" w:hAnsi="宋体" w:cs="宋体"/>
                <w:kern w:val="0"/>
                <w:sz w:val="24"/>
              </w:rPr>
            </w:pPr>
          </w:p>
        </w:tc>
        <w:tc>
          <w:tcPr>
            <w:tcW w:w="1906" w:type="dxa"/>
            <w:vMerge w:val="continue"/>
            <w:vAlign w:val="center"/>
          </w:tcPr>
          <w:p>
            <w:pPr>
              <w:widowControl/>
              <w:jc w:val="left"/>
              <w:rPr>
                <w:rFonts w:ascii="宋体" w:hAnsi="宋体" w:cs="宋体"/>
                <w:kern w:val="0"/>
                <w:sz w:val="24"/>
              </w:rPr>
            </w:pPr>
          </w:p>
        </w:tc>
        <w:tc>
          <w:tcPr>
            <w:tcW w:w="6455" w:type="dxa"/>
            <w:vAlign w:val="center"/>
          </w:tcPr>
          <w:p>
            <w:pPr>
              <w:widowControl/>
              <w:jc w:val="left"/>
              <w:rPr>
                <w:rFonts w:ascii="宋体" w:hAnsi="宋体" w:cs="宋体"/>
                <w:kern w:val="0"/>
                <w:sz w:val="24"/>
              </w:rPr>
            </w:pPr>
            <w:r>
              <w:rPr>
                <w:rFonts w:hint="eastAsia" w:ascii="宋体" w:hAnsi="宋体" w:cs="宋体"/>
                <w:kern w:val="0"/>
                <w:sz w:val="24"/>
              </w:rPr>
              <w:t>删除宣教资料：删除没必要宣教资料，支持逻辑删除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widowControl/>
              <w:jc w:val="left"/>
              <w:rPr>
                <w:rFonts w:ascii="宋体" w:hAnsi="宋体" w:cs="宋体"/>
                <w:kern w:val="0"/>
                <w:sz w:val="24"/>
              </w:rPr>
            </w:pPr>
          </w:p>
        </w:tc>
        <w:tc>
          <w:tcPr>
            <w:tcW w:w="1906" w:type="dxa"/>
            <w:vMerge w:val="continue"/>
            <w:vAlign w:val="center"/>
          </w:tcPr>
          <w:p>
            <w:pPr>
              <w:widowControl/>
              <w:jc w:val="left"/>
              <w:rPr>
                <w:rFonts w:ascii="宋体" w:hAnsi="宋体" w:cs="宋体"/>
                <w:kern w:val="0"/>
                <w:sz w:val="24"/>
              </w:rPr>
            </w:pPr>
          </w:p>
        </w:tc>
        <w:tc>
          <w:tcPr>
            <w:tcW w:w="6455" w:type="dxa"/>
            <w:vAlign w:val="center"/>
          </w:tcPr>
          <w:p>
            <w:pPr>
              <w:widowControl/>
              <w:jc w:val="left"/>
              <w:rPr>
                <w:rFonts w:ascii="宋体" w:hAnsi="宋体" w:cs="宋体"/>
                <w:kern w:val="0"/>
                <w:sz w:val="24"/>
              </w:rPr>
            </w:pPr>
            <w:r>
              <w:rPr>
                <w:rFonts w:hint="eastAsia" w:ascii="宋体" w:hAnsi="宋体" w:cs="宋体"/>
                <w:kern w:val="0"/>
                <w:sz w:val="24"/>
              </w:rPr>
              <w:t>创建宣教资料：通过该功能可以创建新的教材，并创建新的分类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widowControl/>
              <w:jc w:val="left"/>
              <w:rPr>
                <w:rFonts w:ascii="宋体" w:hAnsi="宋体" w:cs="宋体"/>
                <w:kern w:val="0"/>
                <w:sz w:val="24"/>
              </w:rPr>
            </w:pPr>
          </w:p>
        </w:tc>
        <w:tc>
          <w:tcPr>
            <w:tcW w:w="1906" w:type="dxa"/>
            <w:vMerge w:val="restart"/>
            <w:vAlign w:val="center"/>
          </w:tcPr>
          <w:p>
            <w:pPr>
              <w:widowControl/>
              <w:jc w:val="left"/>
              <w:rPr>
                <w:rFonts w:ascii="宋体" w:hAnsi="宋体" w:cs="宋体"/>
                <w:kern w:val="0"/>
                <w:sz w:val="24"/>
              </w:rPr>
            </w:pPr>
            <w:r>
              <w:rPr>
                <w:rFonts w:hint="eastAsia" w:ascii="宋体" w:hAnsi="宋体" w:cs="宋体"/>
                <w:kern w:val="0"/>
                <w:sz w:val="24"/>
              </w:rPr>
              <w:t>文书端宣教记录</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宣教记录查看：支持患者所做的宣教记录查看，包括宣教内容、宣教时间、宣教护士、患者反馈效果及反馈时间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widowControl/>
              <w:jc w:val="left"/>
              <w:rPr>
                <w:rFonts w:ascii="宋体" w:hAnsi="宋体" w:cs="宋体"/>
                <w:kern w:val="0"/>
                <w:sz w:val="24"/>
              </w:rPr>
            </w:pPr>
          </w:p>
        </w:tc>
        <w:tc>
          <w:tcPr>
            <w:tcW w:w="1906" w:type="dxa"/>
            <w:vMerge w:val="continue"/>
            <w:vAlign w:val="center"/>
          </w:tcPr>
          <w:p>
            <w:pPr>
              <w:widowControl/>
              <w:jc w:val="left"/>
              <w:rPr>
                <w:rFonts w:ascii="宋体" w:hAnsi="宋体" w:cs="宋体"/>
                <w:kern w:val="0"/>
                <w:sz w:val="24"/>
              </w:rPr>
            </w:pPr>
          </w:p>
        </w:tc>
        <w:tc>
          <w:tcPr>
            <w:tcW w:w="6455" w:type="dxa"/>
            <w:vAlign w:val="center"/>
          </w:tcPr>
          <w:p>
            <w:pPr>
              <w:widowControl/>
              <w:jc w:val="left"/>
              <w:rPr>
                <w:rFonts w:ascii="宋体" w:hAnsi="宋体" w:cs="宋体"/>
                <w:kern w:val="0"/>
                <w:sz w:val="24"/>
              </w:rPr>
            </w:pPr>
            <w:r>
              <w:rPr>
                <w:rFonts w:hint="eastAsia" w:ascii="宋体" w:hAnsi="宋体" w:cs="宋体"/>
                <w:kern w:val="0"/>
                <w:sz w:val="24"/>
              </w:rPr>
              <w:t>宣教记录打印：支持将宣教记录导出Excel文档并打印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文书端个人中心</w:t>
            </w:r>
          </w:p>
        </w:tc>
        <w:tc>
          <w:tcPr>
            <w:tcW w:w="6455" w:type="dxa"/>
            <w:vAlign w:val="center"/>
          </w:tcPr>
          <w:p>
            <w:pPr>
              <w:widowControl/>
              <w:jc w:val="left"/>
              <w:rPr>
                <w:rFonts w:ascii="宋体" w:hAnsi="宋体" w:cs="宋体"/>
                <w:kern w:val="0"/>
                <w:sz w:val="24"/>
              </w:rPr>
            </w:pPr>
            <w:r>
              <w:rPr>
                <w:rFonts w:hint="eastAsia" w:ascii="宋体" w:hAnsi="宋体" w:cs="宋体"/>
                <w:sz w:val="24"/>
                <w:lang w:bidi="en-US"/>
              </w:rPr>
              <w:t>个人资料和宣教记录查看：</w:t>
            </w:r>
            <w:r>
              <w:rPr>
                <w:rFonts w:hint="eastAsia" w:ascii="宋体" w:hAnsi="宋体" w:cs="宋体"/>
                <w:sz w:val="24"/>
              </w:rPr>
              <w:t>支持用户查看个人基本资料及宣教记录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widowControl/>
              <w:jc w:val="left"/>
              <w:rPr>
                <w:rFonts w:ascii="宋体" w:hAnsi="宋体" w:cs="宋体"/>
                <w:kern w:val="0"/>
                <w:sz w:val="24"/>
              </w:rPr>
            </w:pPr>
          </w:p>
        </w:tc>
        <w:tc>
          <w:tcPr>
            <w:tcW w:w="1906" w:type="dxa"/>
            <w:vMerge w:val="restart"/>
            <w:vAlign w:val="center"/>
          </w:tcPr>
          <w:p>
            <w:pPr>
              <w:widowControl/>
              <w:jc w:val="left"/>
              <w:rPr>
                <w:rFonts w:ascii="宋体" w:hAnsi="宋体" w:cs="宋体"/>
                <w:kern w:val="0"/>
                <w:sz w:val="24"/>
              </w:rPr>
            </w:pPr>
            <w:r>
              <w:rPr>
                <w:rFonts w:hint="eastAsia" w:ascii="宋体" w:hAnsi="宋体" w:cs="宋体"/>
                <w:kern w:val="0"/>
                <w:sz w:val="24"/>
              </w:rPr>
              <w:t>无线护理设备宣教内容管理</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已宣教查看：按照患者进行分类，可以查看某位患者所做的宣教记录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widowControl/>
              <w:jc w:val="left"/>
              <w:rPr>
                <w:rFonts w:ascii="宋体" w:hAnsi="宋体" w:cs="宋体"/>
                <w:kern w:val="0"/>
                <w:sz w:val="24"/>
              </w:rPr>
            </w:pPr>
          </w:p>
        </w:tc>
        <w:tc>
          <w:tcPr>
            <w:tcW w:w="1906" w:type="dxa"/>
            <w:vMerge w:val="continue"/>
            <w:vAlign w:val="center"/>
          </w:tcPr>
          <w:p>
            <w:pPr>
              <w:widowControl/>
              <w:jc w:val="left"/>
              <w:rPr>
                <w:rFonts w:ascii="宋体" w:hAnsi="宋体" w:cs="宋体"/>
                <w:kern w:val="0"/>
                <w:sz w:val="24"/>
              </w:rPr>
            </w:pPr>
          </w:p>
        </w:tc>
        <w:tc>
          <w:tcPr>
            <w:tcW w:w="6455" w:type="dxa"/>
            <w:vAlign w:val="center"/>
          </w:tcPr>
          <w:p>
            <w:pPr>
              <w:widowControl/>
              <w:jc w:val="left"/>
              <w:rPr>
                <w:rFonts w:ascii="宋体" w:hAnsi="宋体" w:cs="宋体"/>
                <w:kern w:val="0"/>
                <w:sz w:val="24"/>
              </w:rPr>
            </w:pPr>
            <w:r>
              <w:rPr>
                <w:rFonts w:hint="eastAsia" w:ascii="宋体" w:hAnsi="宋体" w:cs="宋体"/>
                <w:kern w:val="0"/>
                <w:sz w:val="24"/>
              </w:rPr>
              <w:t>宣教详情：可以查看宣教详情，包括宣教时间、宣教形式、宣教护士、宣教对象、宣教材料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widowControl/>
              <w:jc w:val="left"/>
              <w:rPr>
                <w:rFonts w:ascii="宋体" w:hAnsi="宋体" w:cs="宋体"/>
                <w:kern w:val="0"/>
                <w:sz w:val="24"/>
              </w:rPr>
            </w:pPr>
          </w:p>
        </w:tc>
        <w:tc>
          <w:tcPr>
            <w:tcW w:w="1906" w:type="dxa"/>
            <w:vMerge w:val="continue"/>
            <w:vAlign w:val="center"/>
          </w:tcPr>
          <w:p>
            <w:pPr>
              <w:widowControl/>
              <w:jc w:val="left"/>
              <w:rPr>
                <w:rFonts w:ascii="宋体" w:hAnsi="宋体" w:cs="宋体"/>
                <w:kern w:val="0"/>
                <w:sz w:val="24"/>
              </w:rPr>
            </w:pPr>
          </w:p>
        </w:tc>
        <w:tc>
          <w:tcPr>
            <w:tcW w:w="6455" w:type="dxa"/>
            <w:vAlign w:val="center"/>
          </w:tcPr>
          <w:p>
            <w:pPr>
              <w:widowControl/>
              <w:jc w:val="left"/>
              <w:rPr>
                <w:rFonts w:ascii="宋体" w:hAnsi="宋体" w:cs="宋体"/>
                <w:kern w:val="0"/>
                <w:sz w:val="24"/>
              </w:rPr>
            </w:pPr>
            <w:r>
              <w:rPr>
                <w:rFonts w:hint="eastAsia" w:ascii="宋体" w:hAnsi="宋体" w:cs="宋体"/>
                <w:kern w:val="0"/>
                <w:sz w:val="24"/>
              </w:rPr>
              <w:t>宣教任务查看：按照患者进行宣教任务分类，护士可查看患者需要宣教的任务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widowControl/>
              <w:jc w:val="left"/>
              <w:rPr>
                <w:rFonts w:ascii="宋体" w:hAnsi="宋体" w:cs="宋体"/>
                <w:kern w:val="0"/>
                <w:sz w:val="24"/>
              </w:rPr>
            </w:pPr>
          </w:p>
        </w:tc>
        <w:tc>
          <w:tcPr>
            <w:tcW w:w="1906" w:type="dxa"/>
            <w:vMerge w:val="continue"/>
            <w:vAlign w:val="center"/>
          </w:tcPr>
          <w:p>
            <w:pPr>
              <w:widowControl/>
              <w:jc w:val="left"/>
              <w:rPr>
                <w:rFonts w:ascii="宋体" w:hAnsi="宋体" w:cs="宋体"/>
                <w:kern w:val="0"/>
                <w:sz w:val="24"/>
              </w:rPr>
            </w:pPr>
          </w:p>
        </w:tc>
        <w:tc>
          <w:tcPr>
            <w:tcW w:w="6455" w:type="dxa"/>
            <w:vAlign w:val="center"/>
          </w:tcPr>
          <w:p>
            <w:pPr>
              <w:widowControl/>
              <w:jc w:val="left"/>
              <w:rPr>
                <w:rFonts w:ascii="宋体" w:hAnsi="宋体" w:cs="宋体"/>
                <w:kern w:val="0"/>
                <w:sz w:val="24"/>
              </w:rPr>
            </w:pPr>
            <w:r>
              <w:rPr>
                <w:rFonts w:hint="eastAsia" w:ascii="宋体" w:hAnsi="宋体" w:cs="宋体"/>
                <w:kern w:val="0"/>
                <w:sz w:val="24"/>
              </w:rPr>
              <w:t>床旁宣教：打开宣教资料进行床旁宣教，需要护士选择宣教时间和宣教对象，患者反馈宣教效果</w:t>
            </w:r>
          </w:p>
        </w:tc>
      </w:tr>
    </w:tbl>
    <w:p>
      <w:pPr>
        <w:spacing w:line="360" w:lineRule="auto"/>
        <w:ind w:left="-1365" w:leftChars="-650" w:firstLine="420" w:firstLineChars="200"/>
      </w:pPr>
    </w:p>
    <w:tbl>
      <w:tblPr>
        <w:tblStyle w:val="47"/>
        <w:tblpPr w:leftFromText="180" w:rightFromText="180" w:vertAnchor="text" w:horzAnchor="page" w:tblpX="1217" w:tblpY="361"/>
        <w:tblOverlap w:val="never"/>
        <w:tblW w:w="9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1906"/>
        <w:gridCol w:w="6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restart"/>
            <w:vAlign w:val="center"/>
          </w:tcPr>
          <w:p>
            <w:pPr>
              <w:widowControl/>
              <w:jc w:val="center"/>
              <w:rPr>
                <w:rFonts w:ascii="宋体" w:hAnsi="宋体" w:cs="宋体"/>
                <w:kern w:val="0"/>
                <w:sz w:val="24"/>
              </w:rPr>
            </w:pPr>
            <w:r>
              <w:rPr>
                <w:rFonts w:hint="eastAsia" w:ascii="宋体" w:hAnsi="宋体" w:cs="宋体"/>
                <w:kern w:val="0"/>
                <w:sz w:val="24"/>
              </w:rPr>
              <w:t>交班报告（需要与护理管理系统融合建设）</w:t>
            </w:r>
          </w:p>
        </w:tc>
        <w:tc>
          <w:tcPr>
            <w:tcW w:w="1906" w:type="dxa"/>
            <w:vAlign w:val="center"/>
          </w:tcPr>
          <w:p>
            <w:pPr>
              <w:widowControl/>
              <w:jc w:val="left"/>
              <w:rPr>
                <w:rFonts w:ascii="宋体" w:hAnsi="宋体" w:cs="宋体"/>
                <w:kern w:val="0"/>
                <w:sz w:val="24"/>
              </w:rPr>
            </w:pPr>
            <w:r>
              <w:rPr>
                <w:rFonts w:hint="eastAsia" w:ascii="宋体" w:hAnsi="宋体" w:cs="宋体"/>
                <w:kern w:val="0"/>
                <w:sz w:val="24"/>
              </w:rPr>
              <w:t>交班统计项目</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支持默认按班次时间段统计病区原有患者数、现有患者数、特级护理、一级护理、二级护理、三级护理、病危、病重、手术、转入、转出、体温异常、血压异常、血糖异常人数。并且可以根据科室自身实际情况添加科室内关注的交班统计项目，比如产科可以添加分娩个数统计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交班病人查询</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支持按统计项目，按班次分别查看该类患者的床位、姓名、年龄、诊断、描述和备注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交班班次时间设置</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支持配置多种交班班次模板供各个科室选择，如三班制，两班制登。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交班报告打印</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支持按天汇总交班信息，并按一定格式打印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交班引用信息</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交班描述支持引用病人检验检查报告，诊断，护理记录单信息。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1" w:type="dxa"/>
            <w:vMerge w:val="continue"/>
            <w:vAlign w:val="center"/>
          </w:tcPr>
          <w:p>
            <w:pPr>
              <w:widowControl/>
              <w:jc w:val="left"/>
              <w:rPr>
                <w:rFonts w:ascii="宋体" w:hAnsi="宋体" w:cs="宋体"/>
                <w:kern w:val="0"/>
                <w:sz w:val="24"/>
              </w:rPr>
            </w:pPr>
          </w:p>
        </w:tc>
        <w:tc>
          <w:tcPr>
            <w:tcW w:w="1906" w:type="dxa"/>
            <w:vAlign w:val="center"/>
          </w:tcPr>
          <w:p>
            <w:pPr>
              <w:widowControl/>
              <w:jc w:val="left"/>
              <w:rPr>
                <w:rFonts w:ascii="宋体" w:hAnsi="宋体" w:cs="宋体"/>
                <w:kern w:val="0"/>
                <w:sz w:val="24"/>
              </w:rPr>
            </w:pPr>
            <w:r>
              <w:rPr>
                <w:rFonts w:hint="eastAsia" w:ascii="宋体" w:hAnsi="宋体" w:cs="宋体"/>
                <w:kern w:val="0"/>
                <w:sz w:val="24"/>
              </w:rPr>
              <w:t>无线护理设备查看交班信息</w:t>
            </w:r>
          </w:p>
        </w:tc>
        <w:tc>
          <w:tcPr>
            <w:tcW w:w="6455" w:type="dxa"/>
            <w:vAlign w:val="center"/>
          </w:tcPr>
          <w:p>
            <w:pPr>
              <w:widowControl/>
              <w:jc w:val="left"/>
              <w:rPr>
                <w:rFonts w:ascii="宋体" w:hAnsi="宋体" w:cs="宋体"/>
                <w:kern w:val="0"/>
                <w:sz w:val="24"/>
              </w:rPr>
            </w:pPr>
            <w:r>
              <w:rPr>
                <w:rFonts w:hint="eastAsia" w:ascii="宋体" w:hAnsi="宋体" w:cs="宋体"/>
                <w:kern w:val="0"/>
                <w:sz w:val="24"/>
              </w:rPr>
              <w:t>支持无线护理设备按天查看科室内交班信息</w:t>
            </w:r>
          </w:p>
        </w:tc>
      </w:tr>
    </w:tbl>
    <w:p>
      <w:pPr>
        <w:spacing w:line="360" w:lineRule="auto"/>
        <w:ind w:left="-1365" w:leftChars="-650" w:firstLine="420" w:firstLineChars="200"/>
      </w:pPr>
    </w:p>
    <w:p>
      <w:pPr>
        <w:spacing w:line="360" w:lineRule="auto"/>
        <w:ind w:left="-1365" w:leftChars="-650" w:firstLine="482" w:firstLineChars="200"/>
      </w:pPr>
      <w:r>
        <w:rPr>
          <w:rFonts w:hint="eastAsia" w:ascii="宋体" w:hAnsi="宋体" w:cs="宋体"/>
          <w:b/>
          <w:sz w:val="24"/>
        </w:rPr>
        <w:t>智慧护理部分（必须与医院现有PC端系统融合建设）</w:t>
      </w:r>
    </w:p>
    <w:tbl>
      <w:tblPr>
        <w:tblStyle w:val="47"/>
        <w:tblW w:w="9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4"/>
        <w:gridCol w:w="1825"/>
        <w:gridCol w:w="6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Align w:val="center"/>
          </w:tcPr>
          <w:p>
            <w:pPr>
              <w:widowControl/>
              <w:jc w:val="center"/>
              <w:rPr>
                <w:rFonts w:ascii="宋体" w:hAnsi="宋体" w:cs="宋体"/>
                <w:b/>
                <w:bCs/>
                <w:kern w:val="0"/>
                <w:sz w:val="24"/>
              </w:rPr>
            </w:pPr>
            <w:r>
              <w:rPr>
                <w:rFonts w:hint="eastAsia" w:ascii="宋体" w:hAnsi="宋体" w:cs="宋体"/>
                <w:b/>
                <w:bCs/>
                <w:kern w:val="0"/>
                <w:sz w:val="24"/>
              </w:rPr>
              <w:t>功能分类</w:t>
            </w:r>
          </w:p>
        </w:tc>
        <w:tc>
          <w:tcPr>
            <w:tcW w:w="1825" w:type="dxa"/>
            <w:vAlign w:val="center"/>
          </w:tcPr>
          <w:p>
            <w:pPr>
              <w:widowControl/>
              <w:jc w:val="center"/>
              <w:rPr>
                <w:rFonts w:ascii="宋体" w:hAnsi="宋体" w:cs="宋体"/>
                <w:b/>
                <w:bCs/>
                <w:kern w:val="0"/>
                <w:sz w:val="24"/>
              </w:rPr>
            </w:pPr>
            <w:r>
              <w:rPr>
                <w:rFonts w:hint="eastAsia" w:ascii="宋体" w:hAnsi="宋体" w:cs="宋体"/>
                <w:b/>
                <w:bCs/>
                <w:kern w:val="0"/>
                <w:sz w:val="24"/>
              </w:rPr>
              <w:t>功能模块</w:t>
            </w:r>
          </w:p>
        </w:tc>
        <w:tc>
          <w:tcPr>
            <w:tcW w:w="6534" w:type="dxa"/>
            <w:vAlign w:val="center"/>
          </w:tcPr>
          <w:p>
            <w:pPr>
              <w:widowControl/>
              <w:jc w:val="center"/>
              <w:rPr>
                <w:rFonts w:ascii="宋体" w:hAnsi="宋体" w:cs="宋体"/>
                <w:b/>
                <w:bCs/>
                <w:kern w:val="0"/>
                <w:sz w:val="24"/>
              </w:rPr>
            </w:pPr>
            <w:r>
              <w:rPr>
                <w:rFonts w:hint="eastAsia" w:ascii="宋体" w:hAnsi="宋体" w:cs="宋体"/>
                <w:b/>
                <w:bCs/>
                <w:kern w:val="0"/>
                <w:sz w:val="24"/>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restart"/>
            <w:vAlign w:val="center"/>
          </w:tcPr>
          <w:p>
            <w:pPr>
              <w:widowControl/>
              <w:jc w:val="left"/>
              <w:rPr>
                <w:rFonts w:ascii="宋体" w:hAnsi="宋体" w:cs="宋体"/>
                <w:b/>
                <w:bCs/>
                <w:kern w:val="0"/>
                <w:sz w:val="24"/>
              </w:rPr>
            </w:pPr>
            <w:r>
              <w:rPr>
                <w:rFonts w:hint="eastAsia" w:ascii="宋体" w:hAnsi="宋体" w:cs="宋体"/>
                <w:kern w:val="0"/>
                <w:sz w:val="24"/>
              </w:rPr>
              <w:t>扫描管理</w:t>
            </w:r>
          </w:p>
        </w:tc>
        <w:tc>
          <w:tcPr>
            <w:tcW w:w="1825" w:type="dxa"/>
            <w:vAlign w:val="center"/>
          </w:tcPr>
          <w:p>
            <w:pPr>
              <w:widowControl/>
              <w:jc w:val="left"/>
              <w:rPr>
                <w:rFonts w:ascii="宋体" w:hAnsi="宋体" w:cs="宋体"/>
                <w:b/>
                <w:bCs/>
                <w:kern w:val="0"/>
                <w:sz w:val="24"/>
              </w:rPr>
            </w:pPr>
            <w:r>
              <w:rPr>
                <w:rFonts w:hint="eastAsia" w:ascii="宋体" w:hAnsi="宋体" w:cs="宋体"/>
                <w:sz w:val="24"/>
              </w:rPr>
              <w:t>▲无线护理设备扫描率</w:t>
            </w:r>
          </w:p>
        </w:tc>
        <w:tc>
          <w:tcPr>
            <w:tcW w:w="6534" w:type="dxa"/>
            <w:vAlign w:val="center"/>
          </w:tcPr>
          <w:p>
            <w:pPr>
              <w:widowControl/>
              <w:jc w:val="left"/>
              <w:rPr>
                <w:rFonts w:ascii="宋体" w:hAnsi="宋体" w:cs="宋体"/>
                <w:b/>
                <w:bCs/>
                <w:kern w:val="0"/>
                <w:sz w:val="24"/>
              </w:rPr>
            </w:pPr>
            <w:r>
              <w:rPr>
                <w:rFonts w:hint="eastAsia" w:ascii="宋体" w:hAnsi="宋体" w:cs="宋体"/>
                <w:sz w:val="24"/>
              </w:rPr>
              <w:t>可以分角色进行查看各个病区的无线护理设备使用情况（扫描率）。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vAlign w:val="center"/>
          </w:tcPr>
          <w:p>
            <w:pPr>
              <w:widowControl/>
              <w:jc w:val="left"/>
              <w:rPr>
                <w:rFonts w:ascii="宋体" w:hAnsi="宋体" w:cs="宋体"/>
                <w:b/>
                <w:bCs/>
                <w:kern w:val="0"/>
                <w:sz w:val="24"/>
              </w:rPr>
            </w:pPr>
          </w:p>
        </w:tc>
        <w:tc>
          <w:tcPr>
            <w:tcW w:w="1825" w:type="dxa"/>
            <w:vAlign w:val="center"/>
          </w:tcPr>
          <w:p>
            <w:pPr>
              <w:widowControl/>
              <w:jc w:val="left"/>
              <w:rPr>
                <w:rFonts w:ascii="宋体" w:hAnsi="宋体" w:cs="宋体"/>
                <w:b/>
                <w:bCs/>
                <w:kern w:val="0"/>
                <w:sz w:val="24"/>
              </w:rPr>
            </w:pPr>
            <w:r>
              <w:rPr>
                <w:rFonts w:hint="eastAsia" w:ascii="宋体" w:hAnsi="宋体" w:cs="宋体"/>
                <w:sz w:val="24"/>
              </w:rPr>
              <w:t>▲无线护理设备防火墙</w:t>
            </w:r>
          </w:p>
        </w:tc>
        <w:tc>
          <w:tcPr>
            <w:tcW w:w="6534" w:type="dxa"/>
            <w:vAlign w:val="center"/>
          </w:tcPr>
          <w:p>
            <w:pPr>
              <w:widowControl/>
              <w:jc w:val="left"/>
              <w:rPr>
                <w:rFonts w:ascii="宋体" w:hAnsi="宋体" w:cs="宋体"/>
                <w:b/>
                <w:bCs/>
                <w:kern w:val="0"/>
                <w:sz w:val="24"/>
              </w:rPr>
            </w:pPr>
            <w:r>
              <w:rPr>
                <w:rFonts w:hint="eastAsia" w:ascii="宋体" w:hAnsi="宋体" w:cs="宋体"/>
                <w:sz w:val="24"/>
              </w:rPr>
              <w:t>需要能够查看无线护理设备扫描时阻止扫描出错的情况，如查看阻止输液、口服、配药等出错情况。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restart"/>
            <w:noWrap/>
            <w:vAlign w:val="center"/>
          </w:tcPr>
          <w:p>
            <w:pPr>
              <w:widowControl/>
              <w:jc w:val="center"/>
              <w:rPr>
                <w:rFonts w:ascii="宋体" w:hAnsi="宋体" w:cs="宋体"/>
                <w:kern w:val="0"/>
                <w:sz w:val="24"/>
              </w:rPr>
            </w:pPr>
            <w:r>
              <w:rPr>
                <w:rFonts w:hint="eastAsia" w:ascii="宋体" w:hAnsi="宋体" w:cs="宋体"/>
                <w:kern w:val="0"/>
                <w:sz w:val="24"/>
              </w:rPr>
              <w:t>护理任务清单</w:t>
            </w:r>
          </w:p>
        </w:tc>
        <w:tc>
          <w:tcPr>
            <w:tcW w:w="1825" w:type="dxa"/>
            <w:vAlign w:val="center"/>
          </w:tcPr>
          <w:p>
            <w:pPr>
              <w:widowControl/>
              <w:jc w:val="left"/>
              <w:rPr>
                <w:rFonts w:ascii="宋体" w:hAnsi="宋体" w:cs="宋体"/>
                <w:kern w:val="0"/>
                <w:sz w:val="24"/>
              </w:rPr>
            </w:pPr>
            <w:r>
              <w:rPr>
                <w:rFonts w:hint="eastAsia" w:ascii="宋体" w:hAnsi="宋体" w:cs="宋体"/>
                <w:kern w:val="0"/>
                <w:sz w:val="24"/>
              </w:rPr>
              <w:t>待执行医嘱查询</w:t>
            </w:r>
          </w:p>
        </w:tc>
        <w:tc>
          <w:tcPr>
            <w:tcW w:w="6534" w:type="dxa"/>
            <w:vAlign w:val="center"/>
          </w:tcPr>
          <w:p>
            <w:pPr>
              <w:widowControl/>
              <w:jc w:val="left"/>
              <w:rPr>
                <w:rFonts w:ascii="宋体" w:hAnsi="宋体" w:cs="宋体"/>
                <w:kern w:val="0"/>
                <w:sz w:val="24"/>
              </w:rPr>
            </w:pPr>
            <w:r>
              <w:rPr>
                <w:rFonts w:hint="eastAsia" w:ascii="宋体" w:hAnsi="宋体" w:cs="宋体"/>
                <w:kern w:val="0"/>
                <w:sz w:val="24"/>
              </w:rPr>
              <w:t>查看患者每日待执行医嘱情况（药物医嘱执行、非药物医嘱执行、检验医嘱执行）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vAlign w:val="center"/>
          </w:tcPr>
          <w:p>
            <w:pPr>
              <w:widowControl/>
              <w:jc w:val="left"/>
              <w:rPr>
                <w:rFonts w:ascii="宋体" w:hAnsi="宋体" w:cs="宋体"/>
                <w:kern w:val="0"/>
                <w:sz w:val="24"/>
              </w:rPr>
            </w:pPr>
          </w:p>
        </w:tc>
        <w:tc>
          <w:tcPr>
            <w:tcW w:w="1825" w:type="dxa"/>
            <w:vAlign w:val="center"/>
          </w:tcPr>
          <w:p>
            <w:pPr>
              <w:widowControl/>
              <w:jc w:val="left"/>
              <w:rPr>
                <w:rFonts w:ascii="宋体" w:hAnsi="宋体" w:cs="宋体"/>
                <w:kern w:val="0"/>
                <w:sz w:val="24"/>
              </w:rPr>
            </w:pPr>
            <w:r>
              <w:rPr>
                <w:rFonts w:hint="eastAsia" w:ascii="宋体" w:hAnsi="宋体" w:cs="宋体"/>
                <w:kern w:val="0"/>
                <w:sz w:val="24"/>
              </w:rPr>
              <w:t>待测体征提醒</w:t>
            </w:r>
          </w:p>
        </w:tc>
        <w:tc>
          <w:tcPr>
            <w:tcW w:w="6534" w:type="dxa"/>
            <w:vAlign w:val="center"/>
          </w:tcPr>
          <w:p>
            <w:pPr>
              <w:widowControl/>
              <w:jc w:val="left"/>
              <w:rPr>
                <w:rFonts w:ascii="宋体" w:hAnsi="宋体" w:cs="宋体"/>
                <w:kern w:val="0"/>
                <w:sz w:val="24"/>
              </w:rPr>
            </w:pPr>
            <w:r>
              <w:rPr>
                <w:rFonts w:hint="eastAsia" w:ascii="宋体" w:hAnsi="宋体" w:cs="宋体"/>
                <w:kern w:val="0"/>
                <w:sz w:val="24"/>
              </w:rPr>
              <w:t>根据医院的体征测量规则，自动提醒测量时机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vAlign w:val="center"/>
          </w:tcPr>
          <w:p>
            <w:pPr>
              <w:widowControl/>
              <w:jc w:val="left"/>
              <w:rPr>
                <w:rFonts w:ascii="宋体" w:hAnsi="宋体" w:cs="宋体"/>
                <w:kern w:val="0"/>
                <w:sz w:val="24"/>
              </w:rPr>
            </w:pPr>
          </w:p>
        </w:tc>
        <w:tc>
          <w:tcPr>
            <w:tcW w:w="1825" w:type="dxa"/>
            <w:vAlign w:val="center"/>
          </w:tcPr>
          <w:p>
            <w:pPr>
              <w:widowControl/>
              <w:jc w:val="left"/>
              <w:rPr>
                <w:rFonts w:ascii="宋体" w:hAnsi="宋体" w:cs="宋体"/>
                <w:kern w:val="0"/>
                <w:sz w:val="24"/>
              </w:rPr>
            </w:pPr>
            <w:r>
              <w:rPr>
                <w:rFonts w:hint="eastAsia" w:ascii="宋体" w:hAnsi="宋体" w:cs="宋体"/>
                <w:kern w:val="0"/>
                <w:sz w:val="24"/>
              </w:rPr>
              <w:t>待写护理电子病历查询</w:t>
            </w:r>
          </w:p>
        </w:tc>
        <w:tc>
          <w:tcPr>
            <w:tcW w:w="6534" w:type="dxa"/>
            <w:vAlign w:val="center"/>
          </w:tcPr>
          <w:p>
            <w:pPr>
              <w:widowControl/>
              <w:jc w:val="left"/>
              <w:rPr>
                <w:rFonts w:ascii="宋体" w:hAnsi="宋体" w:cs="宋体"/>
                <w:kern w:val="0"/>
                <w:sz w:val="24"/>
              </w:rPr>
            </w:pPr>
            <w:r>
              <w:rPr>
                <w:rFonts w:hint="eastAsia" w:ascii="宋体" w:hAnsi="宋体" w:cs="宋体"/>
                <w:kern w:val="0"/>
                <w:sz w:val="24"/>
              </w:rPr>
              <w:t>根据医院护理电子病历书写规范，自动提醒书写时机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vAlign w:val="center"/>
          </w:tcPr>
          <w:p>
            <w:pPr>
              <w:widowControl/>
              <w:jc w:val="left"/>
              <w:rPr>
                <w:rFonts w:ascii="宋体" w:hAnsi="宋体" w:cs="宋体"/>
                <w:kern w:val="0"/>
                <w:sz w:val="24"/>
              </w:rPr>
            </w:pPr>
          </w:p>
        </w:tc>
        <w:tc>
          <w:tcPr>
            <w:tcW w:w="1825" w:type="dxa"/>
            <w:vAlign w:val="center"/>
          </w:tcPr>
          <w:p>
            <w:pPr>
              <w:widowControl/>
              <w:jc w:val="left"/>
              <w:rPr>
                <w:rFonts w:ascii="宋体" w:hAnsi="宋体" w:cs="宋体"/>
                <w:kern w:val="0"/>
                <w:sz w:val="24"/>
              </w:rPr>
            </w:pPr>
            <w:r>
              <w:rPr>
                <w:rFonts w:hint="eastAsia" w:ascii="宋体" w:hAnsi="宋体" w:cs="宋体"/>
                <w:kern w:val="0"/>
                <w:sz w:val="24"/>
              </w:rPr>
              <w:t>待评测护理评分查询</w:t>
            </w:r>
          </w:p>
        </w:tc>
        <w:tc>
          <w:tcPr>
            <w:tcW w:w="6534" w:type="dxa"/>
            <w:vAlign w:val="center"/>
          </w:tcPr>
          <w:p>
            <w:pPr>
              <w:widowControl/>
              <w:jc w:val="left"/>
              <w:rPr>
                <w:rFonts w:ascii="宋体" w:hAnsi="宋体" w:cs="宋体"/>
                <w:kern w:val="0"/>
                <w:sz w:val="24"/>
              </w:rPr>
            </w:pPr>
            <w:r>
              <w:rPr>
                <w:rFonts w:hint="eastAsia" w:ascii="宋体" w:hAnsi="宋体" w:cs="宋体"/>
                <w:kern w:val="0"/>
                <w:sz w:val="24"/>
              </w:rPr>
              <w:t>根据最近一次护理评分的结果和规则，自动提醒评测时机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restart"/>
            <w:vAlign w:val="center"/>
          </w:tcPr>
          <w:p>
            <w:pPr>
              <w:widowControl/>
              <w:jc w:val="center"/>
              <w:rPr>
                <w:rFonts w:ascii="宋体" w:hAnsi="宋体" w:cs="宋体"/>
                <w:kern w:val="0"/>
                <w:sz w:val="24"/>
              </w:rPr>
            </w:pPr>
            <w:r>
              <w:rPr>
                <w:rFonts w:hint="eastAsia" w:ascii="宋体" w:hAnsi="宋体" w:cs="宋体"/>
                <w:kern w:val="0"/>
                <w:sz w:val="24"/>
              </w:rPr>
              <w:t>护理临床决策支持</w:t>
            </w:r>
          </w:p>
        </w:tc>
        <w:tc>
          <w:tcPr>
            <w:tcW w:w="1825" w:type="dxa"/>
            <w:vAlign w:val="center"/>
          </w:tcPr>
          <w:p>
            <w:pPr>
              <w:widowControl/>
              <w:jc w:val="left"/>
              <w:rPr>
                <w:rFonts w:ascii="宋体" w:hAnsi="宋体" w:cs="宋体"/>
                <w:kern w:val="0"/>
                <w:sz w:val="24"/>
              </w:rPr>
            </w:pPr>
            <w:r>
              <w:rPr>
                <w:rFonts w:hint="eastAsia" w:ascii="宋体" w:hAnsi="宋体" w:cs="宋体"/>
                <w:kern w:val="0"/>
                <w:sz w:val="24"/>
              </w:rPr>
              <w:t>高温智能联动</w:t>
            </w:r>
          </w:p>
        </w:tc>
        <w:tc>
          <w:tcPr>
            <w:tcW w:w="6534" w:type="dxa"/>
            <w:vAlign w:val="center"/>
          </w:tcPr>
          <w:p>
            <w:pPr>
              <w:widowControl/>
              <w:jc w:val="left"/>
              <w:rPr>
                <w:rFonts w:ascii="宋体" w:hAnsi="宋体" w:cs="宋体"/>
                <w:kern w:val="0"/>
                <w:sz w:val="24"/>
              </w:rPr>
            </w:pPr>
            <w:r>
              <w:rPr>
                <w:rFonts w:hint="eastAsia" w:ascii="宋体" w:hAnsi="宋体" w:cs="宋体"/>
                <w:kern w:val="0"/>
                <w:sz w:val="24"/>
              </w:rPr>
              <w:t>体温单体温大于等于38度，点击保存时，弹出降温措施，选择措施点击确认，弹出护理计划和健康教育提示，点击确定，填写护理计划和健康教育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vAlign w:val="center"/>
          </w:tcPr>
          <w:p>
            <w:pPr>
              <w:widowControl/>
              <w:jc w:val="left"/>
              <w:rPr>
                <w:rFonts w:ascii="宋体" w:hAnsi="宋体" w:cs="宋体"/>
                <w:kern w:val="0"/>
                <w:sz w:val="24"/>
              </w:rPr>
            </w:pPr>
          </w:p>
        </w:tc>
        <w:tc>
          <w:tcPr>
            <w:tcW w:w="1825" w:type="dxa"/>
            <w:vAlign w:val="center"/>
          </w:tcPr>
          <w:p>
            <w:pPr>
              <w:widowControl/>
              <w:jc w:val="left"/>
              <w:rPr>
                <w:rFonts w:ascii="宋体" w:hAnsi="宋体" w:cs="宋体"/>
                <w:kern w:val="0"/>
                <w:sz w:val="24"/>
              </w:rPr>
            </w:pPr>
            <w:r>
              <w:rPr>
                <w:rFonts w:hint="eastAsia" w:ascii="宋体" w:hAnsi="宋体" w:cs="宋体"/>
                <w:kern w:val="0"/>
                <w:sz w:val="24"/>
              </w:rPr>
              <w:t>压疮智能联动</w:t>
            </w:r>
          </w:p>
        </w:tc>
        <w:tc>
          <w:tcPr>
            <w:tcW w:w="6534" w:type="dxa"/>
            <w:vAlign w:val="center"/>
          </w:tcPr>
          <w:p>
            <w:pPr>
              <w:widowControl/>
              <w:jc w:val="left"/>
              <w:rPr>
                <w:rFonts w:ascii="宋体" w:hAnsi="宋体" w:cs="宋体"/>
                <w:kern w:val="0"/>
                <w:sz w:val="24"/>
              </w:rPr>
            </w:pPr>
            <w:r>
              <w:rPr>
                <w:rFonts w:hint="eastAsia" w:ascii="宋体" w:hAnsi="宋体" w:cs="宋体"/>
                <w:kern w:val="0"/>
                <w:sz w:val="24"/>
              </w:rPr>
              <w:t>压疮评分单当分数&lt;18分时，点击保存，弹出护理计划和健康教育提示，点击确定，填写护理计划和健康教育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vAlign w:val="center"/>
          </w:tcPr>
          <w:p>
            <w:pPr>
              <w:widowControl/>
              <w:jc w:val="left"/>
              <w:rPr>
                <w:rFonts w:ascii="宋体" w:hAnsi="宋体" w:cs="宋体"/>
                <w:kern w:val="0"/>
                <w:sz w:val="24"/>
              </w:rPr>
            </w:pPr>
          </w:p>
        </w:tc>
        <w:tc>
          <w:tcPr>
            <w:tcW w:w="1825" w:type="dxa"/>
            <w:vAlign w:val="center"/>
          </w:tcPr>
          <w:p>
            <w:pPr>
              <w:widowControl/>
              <w:jc w:val="left"/>
              <w:rPr>
                <w:rFonts w:ascii="宋体" w:hAnsi="宋体" w:cs="宋体"/>
                <w:kern w:val="0"/>
                <w:sz w:val="24"/>
              </w:rPr>
            </w:pPr>
            <w:r>
              <w:rPr>
                <w:rFonts w:hint="eastAsia" w:ascii="宋体" w:hAnsi="宋体" w:cs="宋体"/>
                <w:kern w:val="0"/>
                <w:sz w:val="24"/>
              </w:rPr>
              <w:t>跌倒智能联动</w:t>
            </w:r>
          </w:p>
        </w:tc>
        <w:tc>
          <w:tcPr>
            <w:tcW w:w="6534" w:type="dxa"/>
            <w:vAlign w:val="center"/>
          </w:tcPr>
          <w:p>
            <w:pPr>
              <w:widowControl/>
              <w:jc w:val="left"/>
              <w:rPr>
                <w:rFonts w:ascii="宋体" w:hAnsi="宋体" w:cs="宋体"/>
                <w:kern w:val="0"/>
                <w:sz w:val="24"/>
              </w:rPr>
            </w:pPr>
            <w:r>
              <w:rPr>
                <w:rFonts w:hint="eastAsia" w:ascii="宋体" w:hAnsi="宋体" w:cs="宋体"/>
                <w:kern w:val="0"/>
                <w:sz w:val="24"/>
              </w:rPr>
              <w:t>跌倒评分单保存时，若分数≥4分弹出护理计划和健康教育提示，点击确定，填写护理计划和健康教育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vAlign w:val="center"/>
          </w:tcPr>
          <w:p>
            <w:pPr>
              <w:widowControl/>
              <w:jc w:val="left"/>
              <w:rPr>
                <w:rFonts w:ascii="宋体" w:hAnsi="宋体" w:cs="宋体"/>
                <w:kern w:val="0"/>
                <w:sz w:val="24"/>
              </w:rPr>
            </w:pPr>
          </w:p>
        </w:tc>
        <w:tc>
          <w:tcPr>
            <w:tcW w:w="1825" w:type="dxa"/>
            <w:vAlign w:val="center"/>
          </w:tcPr>
          <w:p>
            <w:pPr>
              <w:widowControl/>
              <w:jc w:val="left"/>
              <w:rPr>
                <w:rFonts w:ascii="宋体" w:hAnsi="宋体" w:cs="宋体"/>
                <w:kern w:val="0"/>
                <w:sz w:val="24"/>
              </w:rPr>
            </w:pPr>
            <w:r>
              <w:rPr>
                <w:rFonts w:hint="eastAsia" w:ascii="宋体" w:hAnsi="宋体" w:cs="宋体"/>
                <w:kern w:val="0"/>
                <w:sz w:val="24"/>
              </w:rPr>
              <w:t>ADL智能联动</w:t>
            </w:r>
          </w:p>
        </w:tc>
        <w:tc>
          <w:tcPr>
            <w:tcW w:w="6534" w:type="dxa"/>
            <w:vAlign w:val="center"/>
          </w:tcPr>
          <w:p>
            <w:pPr>
              <w:widowControl/>
              <w:jc w:val="left"/>
              <w:rPr>
                <w:rFonts w:ascii="宋体" w:hAnsi="宋体" w:cs="宋体"/>
                <w:kern w:val="0"/>
                <w:sz w:val="24"/>
              </w:rPr>
            </w:pPr>
            <w:r>
              <w:rPr>
                <w:rFonts w:hint="eastAsia" w:ascii="宋体" w:hAnsi="宋体" w:cs="宋体"/>
                <w:kern w:val="0"/>
                <w:sz w:val="24"/>
              </w:rPr>
              <w:t>ADL评分单保存时，若分数小于60分，弹出护理计划和健康教育提示，点击确定，填写护理计划和健康教育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restart"/>
            <w:vAlign w:val="center"/>
          </w:tcPr>
          <w:p>
            <w:pPr>
              <w:widowControl/>
              <w:jc w:val="left"/>
              <w:rPr>
                <w:rFonts w:ascii="宋体" w:hAnsi="宋体" w:cs="宋体"/>
                <w:kern w:val="0"/>
                <w:sz w:val="24"/>
              </w:rPr>
            </w:pPr>
            <w:r>
              <w:rPr>
                <w:rFonts w:hint="eastAsia" w:ascii="宋体" w:hAnsi="宋体" w:cs="宋体"/>
                <w:kern w:val="0"/>
                <w:sz w:val="24"/>
              </w:rPr>
              <w:t>辅助计费</w:t>
            </w:r>
          </w:p>
        </w:tc>
        <w:tc>
          <w:tcPr>
            <w:tcW w:w="1825" w:type="dxa"/>
            <w:vAlign w:val="center"/>
          </w:tcPr>
          <w:p>
            <w:pPr>
              <w:widowControl/>
              <w:jc w:val="left"/>
              <w:rPr>
                <w:rFonts w:ascii="宋体" w:hAnsi="宋体" w:cs="宋体"/>
                <w:kern w:val="0"/>
                <w:sz w:val="24"/>
              </w:rPr>
            </w:pPr>
            <w:r>
              <w:rPr>
                <w:rFonts w:hint="eastAsia" w:ascii="宋体" w:hAnsi="宋体" w:cs="宋体"/>
                <w:sz w:val="24"/>
              </w:rPr>
              <w:t>▲</w:t>
            </w:r>
            <w:r>
              <w:rPr>
                <w:rFonts w:hint="eastAsia" w:ascii="宋体" w:hAnsi="宋体" w:cs="宋体"/>
                <w:kern w:val="0"/>
                <w:sz w:val="24"/>
              </w:rPr>
              <w:t>耗材计费</w:t>
            </w:r>
          </w:p>
        </w:tc>
        <w:tc>
          <w:tcPr>
            <w:tcW w:w="6534" w:type="dxa"/>
            <w:vAlign w:val="center"/>
          </w:tcPr>
          <w:p>
            <w:pPr>
              <w:widowControl/>
              <w:jc w:val="left"/>
              <w:rPr>
                <w:rFonts w:ascii="宋体" w:hAnsi="宋体" w:cs="宋体"/>
                <w:kern w:val="0"/>
                <w:sz w:val="24"/>
              </w:rPr>
            </w:pPr>
            <w:r>
              <w:rPr>
                <w:rFonts w:hint="eastAsia" w:ascii="宋体" w:hAnsi="宋体" w:cs="宋体"/>
                <w:kern w:val="0"/>
                <w:sz w:val="24"/>
              </w:rPr>
              <w:t>使用移动护理设备在病区协助护士进行护理的辅助计费，包括主材、辅材和其他（兼容SPD，但不作为验收条件）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4" w:type="dxa"/>
            <w:vMerge w:val="continue"/>
            <w:vAlign w:val="center"/>
          </w:tcPr>
          <w:p>
            <w:pPr>
              <w:widowControl/>
              <w:jc w:val="left"/>
              <w:rPr>
                <w:rFonts w:ascii="宋体" w:hAnsi="宋体" w:cs="宋体"/>
                <w:kern w:val="0"/>
                <w:sz w:val="24"/>
              </w:rPr>
            </w:pPr>
          </w:p>
        </w:tc>
        <w:tc>
          <w:tcPr>
            <w:tcW w:w="1825" w:type="dxa"/>
            <w:vAlign w:val="center"/>
          </w:tcPr>
          <w:p>
            <w:pPr>
              <w:widowControl/>
              <w:jc w:val="left"/>
              <w:rPr>
                <w:rFonts w:ascii="宋体" w:hAnsi="宋体" w:cs="宋体"/>
                <w:kern w:val="0"/>
                <w:sz w:val="24"/>
              </w:rPr>
            </w:pPr>
            <w:r>
              <w:rPr>
                <w:rFonts w:hint="eastAsia" w:ascii="宋体" w:hAnsi="宋体" w:cs="宋体"/>
                <w:kern w:val="0"/>
                <w:sz w:val="24"/>
              </w:rPr>
              <w:t>设备计费</w:t>
            </w:r>
          </w:p>
        </w:tc>
        <w:tc>
          <w:tcPr>
            <w:tcW w:w="6534" w:type="dxa"/>
            <w:vAlign w:val="center"/>
          </w:tcPr>
          <w:p>
            <w:pPr>
              <w:widowControl/>
              <w:jc w:val="left"/>
              <w:rPr>
                <w:rFonts w:ascii="宋体" w:hAnsi="宋体" w:cs="宋体"/>
                <w:kern w:val="0"/>
                <w:sz w:val="24"/>
              </w:rPr>
            </w:pPr>
            <w:r>
              <w:rPr>
                <w:rFonts w:hint="eastAsia" w:ascii="宋体" w:hAnsi="宋体" w:cs="宋体"/>
                <w:kern w:val="0"/>
                <w:sz w:val="24"/>
              </w:rPr>
              <w:t>扫描核对设备及使用人,针对使用设备支持按次、按时长计费。</w:t>
            </w:r>
          </w:p>
        </w:tc>
      </w:tr>
    </w:tbl>
    <w:p>
      <w:pPr>
        <w:spacing w:line="360" w:lineRule="auto"/>
        <w:ind w:left="-1365" w:leftChars="-650" w:firstLine="482" w:firstLineChars="200"/>
        <w:rPr>
          <w:rFonts w:ascii="宋体" w:hAnsi="宋体" w:cs="宋体"/>
          <w:b/>
          <w:sz w:val="24"/>
        </w:rPr>
      </w:pPr>
    </w:p>
    <w:p>
      <w:pPr>
        <w:spacing w:line="360" w:lineRule="auto"/>
        <w:ind w:left="-1365" w:leftChars="-650" w:firstLine="480" w:firstLineChars="200"/>
      </w:pPr>
      <w:r>
        <w:rPr>
          <w:rFonts w:hint="eastAsia" w:ascii="宋体" w:hAnsi="宋体" w:cs="宋体"/>
          <w:sz w:val="24"/>
        </w:rPr>
        <w:t>▲</w:t>
      </w:r>
      <w:r>
        <w:rPr>
          <w:rFonts w:hint="eastAsia" w:ascii="宋体" w:hAnsi="宋体" w:cs="宋体"/>
          <w:b/>
          <w:sz w:val="24"/>
        </w:rPr>
        <w:t>中医专科部分（必须与医院现有PC端系统融合建设）</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831"/>
        <w:gridCol w:w="1825"/>
        <w:gridCol w:w="6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Align w:val="center"/>
          </w:tcPr>
          <w:p>
            <w:pPr>
              <w:widowControl/>
              <w:jc w:val="center"/>
              <w:rPr>
                <w:rFonts w:ascii="宋体" w:hAnsi="宋体" w:cs="宋体"/>
                <w:b/>
                <w:bCs/>
                <w:kern w:val="0"/>
                <w:sz w:val="24"/>
              </w:rPr>
            </w:pPr>
            <w:r>
              <w:rPr>
                <w:rFonts w:hint="eastAsia" w:ascii="宋体" w:hAnsi="宋体" w:cs="宋体"/>
                <w:b/>
                <w:bCs/>
                <w:kern w:val="0"/>
                <w:sz w:val="24"/>
              </w:rPr>
              <w:t>功能分类</w:t>
            </w:r>
          </w:p>
        </w:tc>
        <w:tc>
          <w:tcPr>
            <w:tcW w:w="2656" w:type="dxa"/>
            <w:gridSpan w:val="2"/>
            <w:vAlign w:val="center"/>
          </w:tcPr>
          <w:p>
            <w:pPr>
              <w:widowControl/>
              <w:jc w:val="center"/>
              <w:rPr>
                <w:rFonts w:ascii="宋体" w:hAnsi="宋体" w:cs="宋体"/>
                <w:b/>
                <w:bCs/>
                <w:kern w:val="0"/>
                <w:sz w:val="24"/>
              </w:rPr>
            </w:pPr>
            <w:r>
              <w:rPr>
                <w:rFonts w:hint="eastAsia" w:ascii="宋体" w:hAnsi="宋体" w:cs="宋体"/>
                <w:b/>
                <w:bCs/>
                <w:kern w:val="0"/>
                <w:sz w:val="24"/>
              </w:rPr>
              <w:t>功能模块</w:t>
            </w:r>
          </w:p>
        </w:tc>
        <w:tc>
          <w:tcPr>
            <w:tcW w:w="6536" w:type="dxa"/>
            <w:vAlign w:val="center"/>
          </w:tcPr>
          <w:p>
            <w:pPr>
              <w:widowControl/>
              <w:jc w:val="center"/>
              <w:rPr>
                <w:rFonts w:ascii="宋体" w:hAnsi="宋体" w:cs="宋体"/>
                <w:b/>
                <w:bCs/>
                <w:kern w:val="0"/>
                <w:sz w:val="24"/>
              </w:rPr>
            </w:pPr>
            <w:r>
              <w:rPr>
                <w:rFonts w:hint="eastAsia" w:ascii="宋体" w:hAnsi="宋体" w:cs="宋体"/>
                <w:b/>
                <w:bCs/>
                <w:kern w:val="0"/>
                <w:sz w:val="24"/>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restart"/>
            <w:vAlign w:val="center"/>
          </w:tcPr>
          <w:p>
            <w:pPr>
              <w:widowControl/>
              <w:jc w:val="center"/>
              <w:rPr>
                <w:rFonts w:ascii="宋体" w:hAnsi="宋体" w:cs="宋体"/>
                <w:kern w:val="0"/>
                <w:sz w:val="24"/>
              </w:rPr>
            </w:pPr>
            <w:r>
              <w:rPr>
                <w:rFonts w:hint="eastAsia" w:ascii="宋体" w:hAnsi="宋体" w:cs="宋体"/>
                <w:kern w:val="0"/>
                <w:sz w:val="24"/>
              </w:rPr>
              <w:t>中医专科</w:t>
            </w:r>
          </w:p>
        </w:tc>
        <w:tc>
          <w:tcPr>
            <w:tcW w:w="831" w:type="dxa"/>
            <w:vMerge w:val="restart"/>
            <w:vAlign w:val="center"/>
          </w:tcPr>
          <w:p>
            <w:pPr>
              <w:widowControl/>
              <w:jc w:val="center"/>
              <w:rPr>
                <w:rFonts w:ascii="宋体" w:hAnsi="宋体" w:cs="宋体"/>
                <w:kern w:val="0"/>
                <w:sz w:val="24"/>
              </w:rPr>
            </w:pPr>
            <w:r>
              <w:rPr>
                <w:rFonts w:hint="eastAsia" w:ascii="宋体" w:hAnsi="宋体" w:cs="宋体"/>
                <w:kern w:val="0"/>
                <w:sz w:val="24"/>
              </w:rPr>
              <w:t>中医效果评价（</w:t>
            </w:r>
            <w:r>
              <w:rPr>
                <w:rFonts w:hint="eastAsia" w:ascii="宋体" w:hAnsi="宋体" w:cs="宋体"/>
                <w:sz w:val="24"/>
              </w:rPr>
              <w:t>中医护理评估</w:t>
            </w:r>
            <w:r>
              <w:rPr>
                <w:rFonts w:hint="eastAsia" w:ascii="宋体" w:hAnsi="宋体" w:cs="宋体"/>
                <w:kern w:val="0"/>
                <w:sz w:val="24"/>
              </w:rPr>
              <w:t>）</w:t>
            </w:r>
          </w:p>
        </w:tc>
        <w:tc>
          <w:tcPr>
            <w:tcW w:w="1825" w:type="dxa"/>
            <w:vAlign w:val="center"/>
          </w:tcPr>
          <w:p>
            <w:pPr>
              <w:widowControl/>
              <w:jc w:val="left"/>
              <w:rPr>
                <w:rFonts w:ascii="宋体" w:hAnsi="宋体" w:cs="宋体"/>
                <w:kern w:val="0"/>
                <w:sz w:val="24"/>
              </w:rPr>
            </w:pPr>
            <w:r>
              <w:rPr>
                <w:rFonts w:hint="eastAsia" w:ascii="宋体" w:hAnsi="宋体" w:cs="宋体"/>
                <w:kern w:val="0"/>
                <w:sz w:val="24"/>
              </w:rPr>
              <w:t>疾病与症状关联知识库</w:t>
            </w:r>
          </w:p>
        </w:tc>
        <w:tc>
          <w:tcPr>
            <w:tcW w:w="6536" w:type="dxa"/>
            <w:vAlign w:val="center"/>
          </w:tcPr>
          <w:p>
            <w:pPr>
              <w:widowControl/>
              <w:jc w:val="left"/>
              <w:rPr>
                <w:rFonts w:ascii="宋体" w:hAnsi="宋体" w:cs="宋体"/>
                <w:kern w:val="0"/>
                <w:sz w:val="24"/>
              </w:rPr>
            </w:pPr>
            <w:r>
              <w:rPr>
                <w:rFonts w:hint="eastAsia" w:ascii="宋体" w:hAnsi="宋体" w:cs="宋体"/>
                <w:kern w:val="0"/>
                <w:sz w:val="24"/>
              </w:rPr>
              <w:t>维护了疾病和病症的关系，多对多，即：一个疾病会有多个症状，一个症状会有多个疾病当患者有某一个疾病的时候，系统通过知识库查找，能自动提供匹配的症状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825" w:type="dxa"/>
            <w:vAlign w:val="center"/>
          </w:tcPr>
          <w:p>
            <w:pPr>
              <w:widowControl/>
              <w:jc w:val="left"/>
              <w:rPr>
                <w:rFonts w:ascii="宋体" w:hAnsi="宋体" w:cs="宋体"/>
                <w:kern w:val="0"/>
                <w:sz w:val="24"/>
              </w:rPr>
            </w:pPr>
            <w:r>
              <w:rPr>
                <w:rFonts w:hint="eastAsia" w:ascii="宋体" w:hAnsi="宋体" w:cs="宋体"/>
                <w:kern w:val="0"/>
                <w:sz w:val="24"/>
              </w:rPr>
              <w:t>症状与辩证施护方法、中医护理技术关联知识库</w:t>
            </w:r>
          </w:p>
        </w:tc>
        <w:tc>
          <w:tcPr>
            <w:tcW w:w="6536" w:type="dxa"/>
            <w:vAlign w:val="center"/>
          </w:tcPr>
          <w:p>
            <w:pPr>
              <w:widowControl/>
              <w:jc w:val="left"/>
              <w:rPr>
                <w:rFonts w:ascii="宋体" w:hAnsi="宋体" w:cs="宋体"/>
                <w:kern w:val="0"/>
                <w:sz w:val="24"/>
              </w:rPr>
            </w:pPr>
            <w:r>
              <w:rPr>
                <w:rFonts w:hint="eastAsia" w:ascii="宋体" w:hAnsi="宋体" w:cs="宋体"/>
                <w:kern w:val="0"/>
                <w:sz w:val="24"/>
              </w:rPr>
              <w:t>维护了症状与辩证施护方法、中医护理技术的关系多对多当患者有某一个疾病的时候，系统能通过知识库匹配到对应的辩证施护方法和中医护理技术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825" w:type="dxa"/>
            <w:vAlign w:val="center"/>
          </w:tcPr>
          <w:p>
            <w:pPr>
              <w:widowControl/>
              <w:jc w:val="left"/>
              <w:rPr>
                <w:rFonts w:ascii="宋体" w:hAnsi="宋体" w:cs="宋体"/>
                <w:kern w:val="0"/>
                <w:sz w:val="24"/>
              </w:rPr>
            </w:pPr>
            <w:r>
              <w:rPr>
                <w:rFonts w:hint="eastAsia" w:ascii="宋体" w:hAnsi="宋体" w:cs="宋体"/>
                <w:kern w:val="0"/>
                <w:sz w:val="24"/>
              </w:rPr>
              <w:t>中医护理效果评价</w:t>
            </w:r>
          </w:p>
        </w:tc>
        <w:tc>
          <w:tcPr>
            <w:tcW w:w="6536" w:type="dxa"/>
            <w:vAlign w:val="center"/>
          </w:tcPr>
          <w:p>
            <w:pPr>
              <w:widowControl/>
              <w:jc w:val="left"/>
              <w:rPr>
                <w:rFonts w:ascii="宋体" w:hAnsi="宋体" w:cs="宋体"/>
                <w:kern w:val="0"/>
                <w:sz w:val="24"/>
              </w:rPr>
            </w:pPr>
            <w:r>
              <w:rPr>
                <w:rFonts w:hint="eastAsia" w:ascii="宋体" w:hAnsi="宋体" w:cs="宋体"/>
                <w:kern w:val="0"/>
                <w:sz w:val="24"/>
              </w:rPr>
              <w:t>针对中医管理局下发的中医单病种的中医护理效果进行评价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825" w:type="dxa"/>
            <w:vAlign w:val="center"/>
          </w:tcPr>
          <w:p>
            <w:pPr>
              <w:widowControl/>
              <w:jc w:val="left"/>
              <w:rPr>
                <w:rFonts w:ascii="宋体" w:hAnsi="宋体" w:cs="宋体"/>
                <w:kern w:val="0"/>
                <w:sz w:val="24"/>
              </w:rPr>
            </w:pPr>
            <w:r>
              <w:rPr>
                <w:rFonts w:hint="eastAsia" w:ascii="宋体" w:hAnsi="宋体" w:cs="宋体"/>
                <w:kern w:val="0"/>
                <w:sz w:val="24"/>
              </w:rPr>
              <w:t>护理方案的效果分析</w:t>
            </w:r>
          </w:p>
        </w:tc>
        <w:tc>
          <w:tcPr>
            <w:tcW w:w="6536" w:type="dxa"/>
            <w:vAlign w:val="center"/>
          </w:tcPr>
          <w:p>
            <w:pPr>
              <w:widowControl/>
              <w:jc w:val="left"/>
              <w:rPr>
                <w:rFonts w:ascii="宋体" w:hAnsi="宋体" w:cs="宋体"/>
                <w:kern w:val="0"/>
                <w:sz w:val="24"/>
              </w:rPr>
            </w:pPr>
            <w:r>
              <w:rPr>
                <w:rFonts w:hint="eastAsia" w:ascii="宋体" w:hAnsi="宋体" w:cs="宋体"/>
                <w:kern w:val="0"/>
                <w:sz w:val="24"/>
              </w:rPr>
              <w:t>显示针对主要症状、实现例数及护理效果的统计分析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825" w:type="dxa"/>
            <w:vAlign w:val="center"/>
          </w:tcPr>
          <w:p>
            <w:pPr>
              <w:widowControl/>
              <w:jc w:val="left"/>
              <w:rPr>
                <w:rFonts w:ascii="宋体" w:hAnsi="宋体" w:cs="宋体"/>
                <w:kern w:val="0"/>
                <w:sz w:val="24"/>
              </w:rPr>
            </w:pPr>
            <w:r>
              <w:rPr>
                <w:rFonts w:hint="eastAsia" w:ascii="宋体" w:hAnsi="宋体" w:cs="宋体"/>
                <w:kern w:val="0"/>
                <w:sz w:val="24"/>
              </w:rPr>
              <w:t>中医护理技术应用情况分析</w:t>
            </w:r>
          </w:p>
        </w:tc>
        <w:tc>
          <w:tcPr>
            <w:tcW w:w="6536" w:type="dxa"/>
            <w:vAlign w:val="center"/>
          </w:tcPr>
          <w:p>
            <w:pPr>
              <w:widowControl/>
              <w:jc w:val="left"/>
              <w:rPr>
                <w:rFonts w:ascii="宋体" w:hAnsi="宋体" w:cs="宋体"/>
                <w:kern w:val="0"/>
                <w:sz w:val="24"/>
              </w:rPr>
            </w:pPr>
            <w:r>
              <w:rPr>
                <w:rFonts w:hint="eastAsia" w:ascii="宋体" w:hAnsi="宋体" w:cs="宋体"/>
                <w:kern w:val="0"/>
                <w:sz w:val="24"/>
              </w:rPr>
              <w:t>显示针对主要症状的病例数及中医护理技术的实施人次及百分比的统计分析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825" w:type="dxa"/>
            <w:vAlign w:val="center"/>
          </w:tcPr>
          <w:p>
            <w:pPr>
              <w:widowControl/>
              <w:jc w:val="left"/>
              <w:rPr>
                <w:rFonts w:ascii="宋体" w:hAnsi="宋体" w:cs="宋体"/>
                <w:kern w:val="0"/>
                <w:sz w:val="24"/>
              </w:rPr>
            </w:pPr>
            <w:r>
              <w:rPr>
                <w:rFonts w:hint="eastAsia" w:ascii="宋体" w:hAnsi="宋体" w:cs="宋体"/>
                <w:kern w:val="0"/>
                <w:sz w:val="24"/>
              </w:rPr>
              <w:t>患者对中医护理技术的依从性和满意度分析</w:t>
            </w:r>
          </w:p>
        </w:tc>
        <w:tc>
          <w:tcPr>
            <w:tcW w:w="6536" w:type="dxa"/>
            <w:vAlign w:val="center"/>
          </w:tcPr>
          <w:p>
            <w:pPr>
              <w:widowControl/>
              <w:jc w:val="left"/>
              <w:rPr>
                <w:rFonts w:ascii="宋体" w:hAnsi="宋体" w:cs="宋体"/>
                <w:kern w:val="0"/>
                <w:sz w:val="24"/>
              </w:rPr>
            </w:pPr>
            <w:r>
              <w:rPr>
                <w:rFonts w:hint="eastAsia" w:ascii="宋体" w:hAnsi="宋体" w:cs="宋体"/>
                <w:kern w:val="0"/>
                <w:sz w:val="24"/>
              </w:rPr>
              <w:t>显示针对中医护理技术的实施人次、依从性及满意度的统计分析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825" w:type="dxa"/>
            <w:vAlign w:val="center"/>
          </w:tcPr>
          <w:p>
            <w:pPr>
              <w:widowControl/>
              <w:jc w:val="left"/>
              <w:rPr>
                <w:rFonts w:ascii="宋体" w:hAnsi="宋体" w:cs="宋体"/>
                <w:kern w:val="0"/>
                <w:sz w:val="24"/>
              </w:rPr>
            </w:pPr>
            <w:r>
              <w:rPr>
                <w:rFonts w:hint="eastAsia" w:ascii="宋体" w:hAnsi="宋体" w:cs="宋体"/>
                <w:kern w:val="0"/>
                <w:sz w:val="24"/>
              </w:rPr>
              <w:t>应用中医护理技术患者一览</w:t>
            </w:r>
          </w:p>
        </w:tc>
        <w:tc>
          <w:tcPr>
            <w:tcW w:w="6536" w:type="dxa"/>
            <w:vAlign w:val="center"/>
          </w:tcPr>
          <w:p>
            <w:pPr>
              <w:widowControl/>
              <w:jc w:val="left"/>
              <w:rPr>
                <w:rFonts w:ascii="宋体" w:hAnsi="宋体" w:cs="宋体"/>
                <w:kern w:val="0"/>
                <w:sz w:val="24"/>
              </w:rPr>
            </w:pPr>
            <w:r>
              <w:rPr>
                <w:rFonts w:hint="eastAsia" w:ascii="宋体" w:hAnsi="宋体" w:cs="宋体"/>
                <w:kern w:val="0"/>
                <w:sz w:val="24"/>
              </w:rPr>
              <w:t>列出应用中医护理技术患者列表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825" w:type="dxa"/>
            <w:vAlign w:val="center"/>
          </w:tcPr>
          <w:p>
            <w:pPr>
              <w:widowControl/>
              <w:jc w:val="left"/>
              <w:rPr>
                <w:rFonts w:ascii="宋体" w:hAnsi="宋体" w:cs="宋体"/>
                <w:kern w:val="0"/>
                <w:sz w:val="24"/>
              </w:rPr>
            </w:pPr>
            <w:r>
              <w:rPr>
                <w:rFonts w:hint="eastAsia" w:ascii="宋体" w:hAnsi="宋体" w:cs="宋体"/>
                <w:kern w:val="0"/>
                <w:sz w:val="24"/>
              </w:rPr>
              <w:t>出院前的中医护理技术效果评价</w:t>
            </w:r>
          </w:p>
        </w:tc>
        <w:tc>
          <w:tcPr>
            <w:tcW w:w="6536" w:type="dxa"/>
            <w:vAlign w:val="center"/>
          </w:tcPr>
          <w:p>
            <w:pPr>
              <w:widowControl/>
              <w:jc w:val="left"/>
              <w:rPr>
                <w:rFonts w:ascii="宋体" w:hAnsi="宋体" w:cs="宋体"/>
                <w:kern w:val="0"/>
                <w:sz w:val="24"/>
              </w:rPr>
            </w:pPr>
            <w:r>
              <w:rPr>
                <w:rFonts w:hint="eastAsia" w:ascii="宋体" w:hAnsi="宋体" w:cs="宋体"/>
                <w:kern w:val="0"/>
                <w:sz w:val="24"/>
              </w:rPr>
              <w:t>出院前完成对护理依从性、满意度、护理方案的实用性及改进意见的填写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825" w:type="dxa"/>
            <w:vAlign w:val="center"/>
          </w:tcPr>
          <w:p>
            <w:pPr>
              <w:widowControl/>
              <w:jc w:val="left"/>
              <w:rPr>
                <w:rFonts w:ascii="宋体" w:hAnsi="宋体" w:cs="宋体"/>
                <w:kern w:val="0"/>
                <w:sz w:val="24"/>
              </w:rPr>
            </w:pPr>
            <w:r>
              <w:rPr>
                <w:rFonts w:hint="eastAsia" w:ascii="宋体" w:hAnsi="宋体" w:cs="宋体"/>
                <w:sz w:val="24"/>
              </w:rPr>
              <w:t>中医首次评估单</w:t>
            </w:r>
          </w:p>
        </w:tc>
        <w:tc>
          <w:tcPr>
            <w:tcW w:w="6536" w:type="dxa"/>
            <w:vAlign w:val="center"/>
          </w:tcPr>
          <w:p>
            <w:pPr>
              <w:widowControl/>
              <w:jc w:val="left"/>
              <w:rPr>
                <w:rFonts w:ascii="宋体" w:hAnsi="宋体" w:cs="宋体"/>
                <w:kern w:val="0"/>
                <w:sz w:val="24"/>
              </w:rPr>
            </w:pPr>
            <w:r>
              <w:rPr>
                <w:rFonts w:hint="eastAsia" w:ascii="宋体" w:hAnsi="宋体" w:cs="宋体"/>
                <w:sz w:val="24"/>
              </w:rPr>
              <w:t>患者入院后的首次评估，主要包括：一般信息如：发病节气、文化程度、四诊、辩证、诊断、各类护理评分如压疮、跌倒、疼痛等。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825" w:type="dxa"/>
            <w:vAlign w:val="center"/>
          </w:tcPr>
          <w:p>
            <w:pPr>
              <w:widowControl/>
              <w:jc w:val="left"/>
              <w:rPr>
                <w:rFonts w:ascii="宋体" w:hAnsi="宋体" w:cs="宋体"/>
                <w:kern w:val="0"/>
                <w:sz w:val="24"/>
              </w:rPr>
            </w:pPr>
            <w:r>
              <w:rPr>
                <w:rFonts w:hint="eastAsia" w:ascii="宋体" w:hAnsi="宋体" w:cs="宋体"/>
                <w:sz w:val="24"/>
              </w:rPr>
              <w:t>症状与辩证施护方法知识库</w:t>
            </w:r>
          </w:p>
        </w:tc>
        <w:tc>
          <w:tcPr>
            <w:tcW w:w="6536" w:type="dxa"/>
            <w:vAlign w:val="center"/>
          </w:tcPr>
          <w:p>
            <w:pPr>
              <w:widowControl/>
              <w:jc w:val="left"/>
              <w:rPr>
                <w:rFonts w:ascii="宋体" w:hAnsi="宋体" w:cs="宋体"/>
                <w:kern w:val="0"/>
                <w:sz w:val="24"/>
              </w:rPr>
            </w:pPr>
            <w:r>
              <w:rPr>
                <w:rFonts w:hint="eastAsia" w:ascii="宋体" w:hAnsi="宋体" w:cs="宋体"/>
                <w:sz w:val="24"/>
              </w:rPr>
              <w:t>维护症状与辩证施护方法、中医护理技术的关系，当患者有某一个疾病的时候，系统能够通过知识库匹配到对应的辩证施护方法和中医护理技术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825" w:type="dxa"/>
            <w:vAlign w:val="center"/>
          </w:tcPr>
          <w:p>
            <w:pPr>
              <w:widowControl/>
              <w:jc w:val="left"/>
              <w:rPr>
                <w:rFonts w:ascii="宋体" w:hAnsi="宋体" w:cs="宋体"/>
                <w:kern w:val="0"/>
                <w:sz w:val="24"/>
              </w:rPr>
            </w:pPr>
            <w:r>
              <w:rPr>
                <w:rFonts w:hint="eastAsia" w:ascii="宋体" w:hAnsi="宋体" w:cs="宋体"/>
                <w:sz w:val="24"/>
              </w:rPr>
              <w:t>中医一般护理记录单</w:t>
            </w:r>
          </w:p>
        </w:tc>
        <w:tc>
          <w:tcPr>
            <w:tcW w:w="6536" w:type="dxa"/>
            <w:vAlign w:val="center"/>
          </w:tcPr>
          <w:p>
            <w:pPr>
              <w:widowControl/>
              <w:jc w:val="left"/>
              <w:rPr>
                <w:rFonts w:ascii="宋体" w:hAnsi="宋体" w:cs="宋体"/>
                <w:kern w:val="0"/>
                <w:sz w:val="24"/>
              </w:rPr>
            </w:pPr>
            <w:r>
              <w:rPr>
                <w:rFonts w:hint="eastAsia" w:ascii="宋体" w:hAnsi="宋体" w:cs="宋体"/>
                <w:sz w:val="24"/>
              </w:rPr>
              <w:t>患者首次评估后，确定疾病，通过疾病与症状知识库、疾病与健康教育知识库、症状与辩证施护方法、中医护理技术关联知识库自动生成疾病相关一般护理记录单内容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825" w:type="dxa"/>
            <w:vAlign w:val="center"/>
          </w:tcPr>
          <w:p>
            <w:pPr>
              <w:widowControl/>
              <w:jc w:val="left"/>
              <w:rPr>
                <w:rFonts w:ascii="宋体" w:hAnsi="宋体" w:cs="宋体"/>
                <w:kern w:val="0"/>
                <w:sz w:val="24"/>
              </w:rPr>
            </w:pPr>
            <w:r>
              <w:rPr>
                <w:rFonts w:hint="eastAsia" w:ascii="宋体" w:hAnsi="宋体" w:cs="宋体"/>
                <w:sz w:val="24"/>
              </w:rPr>
              <w:t>中医护理效果单</w:t>
            </w:r>
          </w:p>
        </w:tc>
        <w:tc>
          <w:tcPr>
            <w:tcW w:w="6536" w:type="dxa"/>
            <w:vAlign w:val="center"/>
          </w:tcPr>
          <w:p>
            <w:pPr>
              <w:widowControl/>
              <w:jc w:val="left"/>
              <w:rPr>
                <w:rFonts w:ascii="宋体" w:hAnsi="宋体" w:cs="宋体"/>
                <w:kern w:val="0"/>
                <w:sz w:val="24"/>
              </w:rPr>
            </w:pPr>
            <w:r>
              <w:rPr>
                <w:rFonts w:hint="eastAsia" w:ascii="宋体" w:hAnsi="宋体" w:cs="宋体"/>
                <w:sz w:val="24"/>
              </w:rPr>
              <w:t>评价由疾病最终形成的护理方案效果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825" w:type="dxa"/>
            <w:vAlign w:val="center"/>
          </w:tcPr>
          <w:p>
            <w:pPr>
              <w:widowControl/>
              <w:jc w:val="left"/>
              <w:rPr>
                <w:rFonts w:ascii="宋体" w:hAnsi="宋体" w:cs="宋体"/>
                <w:kern w:val="0"/>
                <w:sz w:val="24"/>
              </w:rPr>
            </w:pPr>
            <w:r>
              <w:rPr>
                <w:rFonts w:hint="eastAsia" w:ascii="宋体" w:hAnsi="宋体" w:cs="宋体"/>
                <w:sz w:val="24"/>
              </w:rPr>
              <w:t>中医病症评估</w:t>
            </w:r>
          </w:p>
        </w:tc>
        <w:tc>
          <w:tcPr>
            <w:tcW w:w="6536" w:type="dxa"/>
            <w:vAlign w:val="center"/>
          </w:tcPr>
          <w:p>
            <w:pPr>
              <w:widowControl/>
              <w:jc w:val="left"/>
              <w:rPr>
                <w:rFonts w:ascii="宋体" w:hAnsi="宋体" w:cs="宋体"/>
                <w:kern w:val="0"/>
                <w:sz w:val="24"/>
              </w:rPr>
            </w:pPr>
            <w:r>
              <w:rPr>
                <w:rFonts w:hint="eastAsia" w:ascii="宋体" w:hAnsi="宋体" w:cs="宋体"/>
                <w:sz w:val="24"/>
              </w:rPr>
              <w:t>通过望闻问切对患者进行首次评估，当评估中关键选项为阳性时，需针对阳性选项进行主要辩证施护法和中医护理技术评估；当患者病情出现变化时，需要对患者进行再次评估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825" w:type="dxa"/>
            <w:vAlign w:val="center"/>
          </w:tcPr>
          <w:p>
            <w:pPr>
              <w:widowControl/>
              <w:jc w:val="left"/>
              <w:rPr>
                <w:rFonts w:ascii="宋体" w:hAnsi="宋体" w:cs="宋体"/>
                <w:sz w:val="24"/>
              </w:rPr>
            </w:pPr>
            <w:r>
              <w:rPr>
                <w:rFonts w:hint="eastAsia" w:ascii="宋体" w:hAnsi="宋体" w:cs="宋体"/>
                <w:sz w:val="24"/>
              </w:rPr>
              <w:t>中医方案的效果分析</w:t>
            </w:r>
          </w:p>
        </w:tc>
        <w:tc>
          <w:tcPr>
            <w:tcW w:w="6536" w:type="dxa"/>
            <w:vAlign w:val="center"/>
          </w:tcPr>
          <w:p>
            <w:pPr>
              <w:widowControl/>
              <w:jc w:val="left"/>
              <w:rPr>
                <w:rFonts w:ascii="宋体" w:hAnsi="宋体" w:cs="宋体"/>
                <w:sz w:val="24"/>
              </w:rPr>
            </w:pPr>
            <w:r>
              <w:rPr>
                <w:rFonts w:hint="eastAsia" w:ascii="宋体" w:hAnsi="宋体" w:cs="宋体"/>
                <w:sz w:val="24"/>
              </w:rPr>
              <w:t>显示针对主要症状、实现例数及护理效果的统计分析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825" w:type="dxa"/>
            <w:vAlign w:val="center"/>
          </w:tcPr>
          <w:p>
            <w:pPr>
              <w:widowControl/>
              <w:jc w:val="left"/>
              <w:rPr>
                <w:rFonts w:ascii="宋体" w:hAnsi="宋体" w:cs="宋体"/>
                <w:sz w:val="24"/>
              </w:rPr>
            </w:pPr>
            <w:r>
              <w:rPr>
                <w:rFonts w:hint="eastAsia" w:ascii="宋体" w:hAnsi="宋体" w:cs="宋体"/>
                <w:sz w:val="24"/>
              </w:rPr>
              <w:t>中医护理技术应用情况分析</w:t>
            </w:r>
          </w:p>
        </w:tc>
        <w:tc>
          <w:tcPr>
            <w:tcW w:w="6536" w:type="dxa"/>
            <w:vAlign w:val="center"/>
          </w:tcPr>
          <w:p>
            <w:pPr>
              <w:widowControl/>
              <w:jc w:val="left"/>
              <w:rPr>
                <w:rFonts w:ascii="宋体" w:hAnsi="宋体" w:cs="宋体"/>
                <w:sz w:val="24"/>
              </w:rPr>
            </w:pPr>
            <w:r>
              <w:rPr>
                <w:rFonts w:hint="eastAsia" w:ascii="宋体" w:hAnsi="宋体" w:cs="宋体"/>
                <w:sz w:val="24"/>
              </w:rPr>
              <w:t>显示针对主要症状的病例数及中医护理技术的实施人次及百分比的统计分析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825" w:type="dxa"/>
            <w:vAlign w:val="center"/>
          </w:tcPr>
          <w:p>
            <w:pPr>
              <w:widowControl/>
              <w:jc w:val="left"/>
              <w:rPr>
                <w:rFonts w:ascii="宋体" w:hAnsi="宋体" w:cs="宋体"/>
                <w:sz w:val="24"/>
              </w:rPr>
            </w:pPr>
            <w:r>
              <w:rPr>
                <w:rFonts w:hint="eastAsia" w:ascii="宋体" w:hAnsi="宋体" w:cs="宋体"/>
                <w:sz w:val="24"/>
              </w:rPr>
              <w:t>患者对中医护理技术的依从性和满意度分析</w:t>
            </w:r>
          </w:p>
        </w:tc>
        <w:tc>
          <w:tcPr>
            <w:tcW w:w="6536" w:type="dxa"/>
            <w:vAlign w:val="center"/>
          </w:tcPr>
          <w:p>
            <w:pPr>
              <w:widowControl/>
              <w:jc w:val="left"/>
              <w:rPr>
                <w:rFonts w:ascii="宋体" w:hAnsi="宋体" w:cs="宋体"/>
                <w:sz w:val="24"/>
              </w:rPr>
            </w:pPr>
            <w:r>
              <w:rPr>
                <w:rFonts w:hint="eastAsia" w:ascii="宋体" w:hAnsi="宋体" w:cs="宋体"/>
                <w:sz w:val="24"/>
              </w:rPr>
              <w:t>显示针对中医护理技术的实施人次、依从性及满意度的统计分析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825" w:type="dxa"/>
            <w:vAlign w:val="center"/>
          </w:tcPr>
          <w:p>
            <w:pPr>
              <w:widowControl/>
              <w:jc w:val="left"/>
              <w:rPr>
                <w:rFonts w:ascii="宋体" w:hAnsi="宋体" w:cs="宋体"/>
                <w:sz w:val="24"/>
              </w:rPr>
            </w:pPr>
            <w:r>
              <w:rPr>
                <w:rFonts w:hint="eastAsia" w:ascii="宋体" w:hAnsi="宋体" w:cs="宋体"/>
                <w:sz w:val="24"/>
              </w:rPr>
              <w:t>应用中医护理技术患者一览</w:t>
            </w:r>
          </w:p>
        </w:tc>
        <w:tc>
          <w:tcPr>
            <w:tcW w:w="6536" w:type="dxa"/>
            <w:vAlign w:val="center"/>
          </w:tcPr>
          <w:p>
            <w:pPr>
              <w:widowControl/>
              <w:jc w:val="left"/>
              <w:rPr>
                <w:rFonts w:ascii="宋体" w:hAnsi="宋体" w:cs="宋体"/>
                <w:sz w:val="24"/>
              </w:rPr>
            </w:pPr>
            <w:r>
              <w:rPr>
                <w:rFonts w:hint="eastAsia" w:ascii="宋体" w:hAnsi="宋体" w:cs="宋体"/>
                <w:sz w:val="24"/>
              </w:rPr>
              <w:t>显示应用中医护理技术的患者列表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825" w:type="dxa"/>
            <w:vAlign w:val="center"/>
          </w:tcPr>
          <w:p>
            <w:pPr>
              <w:widowControl/>
              <w:jc w:val="left"/>
              <w:rPr>
                <w:rFonts w:ascii="宋体" w:hAnsi="宋体" w:cs="宋体"/>
                <w:sz w:val="24"/>
              </w:rPr>
            </w:pPr>
            <w:r>
              <w:rPr>
                <w:rFonts w:hint="eastAsia" w:ascii="宋体" w:hAnsi="宋体" w:cs="宋体"/>
                <w:sz w:val="24"/>
              </w:rPr>
              <w:t>出院前的中医护理技术效果评价</w:t>
            </w:r>
          </w:p>
        </w:tc>
        <w:tc>
          <w:tcPr>
            <w:tcW w:w="6536" w:type="dxa"/>
            <w:vAlign w:val="center"/>
          </w:tcPr>
          <w:p>
            <w:pPr>
              <w:widowControl/>
              <w:jc w:val="left"/>
              <w:rPr>
                <w:rFonts w:ascii="宋体" w:hAnsi="宋体" w:cs="宋体"/>
                <w:sz w:val="24"/>
              </w:rPr>
            </w:pPr>
            <w:r>
              <w:rPr>
                <w:rFonts w:hint="eastAsia" w:ascii="宋体" w:hAnsi="宋体" w:cs="宋体"/>
                <w:sz w:val="24"/>
              </w:rPr>
              <w:t>针对护理依从性、满意度、护理方案的实用性及满意度的统计分析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0" w:type="dxa"/>
            <w:vMerge w:val="continue"/>
            <w:vAlign w:val="center"/>
          </w:tcPr>
          <w:p>
            <w:pPr>
              <w:widowControl/>
              <w:jc w:val="left"/>
              <w:rPr>
                <w:rFonts w:ascii="宋体" w:hAnsi="宋体" w:cs="宋体"/>
                <w:kern w:val="0"/>
                <w:sz w:val="24"/>
              </w:rPr>
            </w:pPr>
          </w:p>
        </w:tc>
        <w:tc>
          <w:tcPr>
            <w:tcW w:w="831" w:type="dxa"/>
            <w:vMerge w:val="continue"/>
            <w:vAlign w:val="center"/>
          </w:tcPr>
          <w:p>
            <w:pPr>
              <w:widowControl/>
              <w:jc w:val="left"/>
              <w:rPr>
                <w:rFonts w:ascii="宋体" w:hAnsi="宋体" w:cs="宋体"/>
                <w:kern w:val="0"/>
                <w:sz w:val="24"/>
              </w:rPr>
            </w:pPr>
          </w:p>
        </w:tc>
        <w:tc>
          <w:tcPr>
            <w:tcW w:w="1825" w:type="dxa"/>
            <w:vAlign w:val="center"/>
          </w:tcPr>
          <w:p>
            <w:pPr>
              <w:widowControl/>
              <w:jc w:val="left"/>
              <w:rPr>
                <w:rFonts w:ascii="宋体" w:hAnsi="宋体" w:cs="宋体"/>
                <w:sz w:val="24"/>
              </w:rPr>
            </w:pPr>
            <w:r>
              <w:rPr>
                <w:rFonts w:hint="eastAsia" w:ascii="宋体" w:hAnsi="宋体" w:cs="宋体"/>
                <w:sz w:val="24"/>
              </w:rPr>
              <w:t>中医护理效果评价表</w:t>
            </w:r>
          </w:p>
        </w:tc>
        <w:tc>
          <w:tcPr>
            <w:tcW w:w="6536" w:type="dxa"/>
            <w:vAlign w:val="center"/>
          </w:tcPr>
          <w:p>
            <w:pPr>
              <w:widowControl/>
              <w:jc w:val="left"/>
              <w:rPr>
                <w:rFonts w:ascii="宋体" w:hAnsi="宋体" w:cs="宋体"/>
                <w:sz w:val="24"/>
              </w:rPr>
            </w:pPr>
            <w:r>
              <w:rPr>
                <w:rFonts w:hint="eastAsia" w:ascii="宋体" w:hAnsi="宋体" w:cs="宋体"/>
                <w:sz w:val="24"/>
              </w:rPr>
              <w:t>针对中医管理局下发的62个中医单病种的中医护理效果进行记录</w:t>
            </w:r>
          </w:p>
        </w:tc>
      </w:tr>
    </w:tbl>
    <w:p>
      <w:pPr>
        <w:pStyle w:val="4"/>
        <w:numPr>
          <w:ilvl w:val="0"/>
          <w:numId w:val="1"/>
        </w:numPr>
        <w:rPr>
          <w:b/>
          <w:bCs/>
          <w:sz w:val="30"/>
          <w:szCs w:val="30"/>
        </w:rPr>
      </w:pPr>
      <w:bookmarkStart w:id="3" w:name="_Toc9635"/>
      <w:r>
        <w:rPr>
          <w:rFonts w:hint="eastAsia"/>
          <w:b/>
          <w:bCs/>
          <w:sz w:val="30"/>
          <w:szCs w:val="30"/>
        </w:rPr>
        <w:t>医院护理管理系统性能要求</w:t>
      </w:r>
      <w:bookmarkEnd w:id="3"/>
    </w:p>
    <w:p>
      <w:pPr>
        <w:numPr>
          <w:ilvl w:val="0"/>
          <w:numId w:val="5"/>
        </w:numPr>
        <w:spacing w:line="360" w:lineRule="auto"/>
        <w:rPr>
          <w:rFonts w:ascii="宋体" w:hAnsi="宋体" w:cs="宋体"/>
          <w:sz w:val="24"/>
        </w:rPr>
      </w:pPr>
      <w:r>
        <w:rPr>
          <w:rFonts w:hint="eastAsia" w:ascii="宋体" w:hAnsi="宋体" w:cs="宋体"/>
          <w:sz w:val="24"/>
        </w:rPr>
        <w:t>系统应遵循《医院信息系统基本功能规范》及国家有关护理规章制度。系统需满足卫计委对三级医院优质护理服务的评审要求。</w:t>
      </w:r>
    </w:p>
    <w:p>
      <w:pPr>
        <w:numPr>
          <w:ilvl w:val="0"/>
          <w:numId w:val="5"/>
        </w:numPr>
        <w:spacing w:line="360" w:lineRule="auto"/>
        <w:rPr>
          <w:rFonts w:ascii="宋体" w:hAnsi="宋体" w:cs="宋体"/>
          <w:sz w:val="24"/>
        </w:rPr>
      </w:pPr>
      <w:r>
        <w:rPr>
          <w:rFonts w:hint="eastAsia" w:ascii="宋体" w:hAnsi="宋体" w:cs="宋体"/>
          <w:sz w:val="24"/>
        </w:rPr>
        <w:t>系统的开发要求从建立系统化、多角度、闭环式的护理质量管理出发，通过质量分析，完善质量改进过程，持续优化质量流程，促进护理工作质量的提高，提升护理质量的PDCA管理能力。</w:t>
      </w:r>
    </w:p>
    <w:p>
      <w:pPr>
        <w:numPr>
          <w:ilvl w:val="0"/>
          <w:numId w:val="5"/>
        </w:numPr>
        <w:spacing w:line="360" w:lineRule="auto"/>
        <w:rPr>
          <w:rFonts w:ascii="宋体" w:hAnsi="宋体" w:cs="宋体"/>
          <w:sz w:val="24"/>
        </w:rPr>
      </w:pPr>
      <w:r>
        <w:rPr>
          <w:rFonts w:hint="eastAsia" w:ascii="宋体" w:hAnsi="宋体" w:cs="宋体"/>
          <w:sz w:val="24"/>
        </w:rPr>
        <w:t>系统要求实现护士长手册的系统化管理，提高科、病区护士长工作效率，并符合医院护理质量控制的要求。</w:t>
      </w:r>
    </w:p>
    <w:p>
      <w:pPr>
        <w:numPr>
          <w:ilvl w:val="0"/>
          <w:numId w:val="5"/>
        </w:numPr>
        <w:spacing w:line="360" w:lineRule="auto"/>
        <w:rPr>
          <w:rFonts w:ascii="宋体" w:hAnsi="宋体" w:cs="宋体"/>
          <w:sz w:val="24"/>
        </w:rPr>
      </w:pPr>
      <w:r>
        <w:rPr>
          <w:rFonts w:hint="eastAsia" w:ascii="宋体" w:hAnsi="宋体" w:cs="宋体"/>
          <w:sz w:val="24"/>
        </w:rPr>
        <w:t>具备强大的统计分析功能，要求支持各类统计图表，直观展现数据，方便决策使用。</w:t>
      </w:r>
    </w:p>
    <w:p>
      <w:pPr>
        <w:spacing w:line="360" w:lineRule="auto"/>
        <w:ind w:left="-1680" w:leftChars="-800" w:firstLine="482" w:firstLineChars="200"/>
        <w:rPr>
          <w:rFonts w:ascii="宋体" w:hAnsi="宋体" w:cs="宋体"/>
          <w:b/>
          <w:sz w:val="24"/>
        </w:rPr>
      </w:pPr>
      <w:r>
        <w:rPr>
          <w:rFonts w:hint="eastAsia" w:ascii="宋体" w:hAnsi="宋体" w:cs="宋体"/>
          <w:b/>
          <w:sz w:val="24"/>
        </w:rPr>
        <w:t>系统功能需求：</w:t>
      </w:r>
    </w:p>
    <w:tbl>
      <w:tblPr>
        <w:tblStyle w:val="47"/>
        <w:tblW w:w="0" w:type="auto"/>
        <w:tblInd w:w="-1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761"/>
        <w:gridCol w:w="1824"/>
        <w:gridCol w:w="5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94" w:type="dxa"/>
            <w:vAlign w:val="center"/>
          </w:tcPr>
          <w:p>
            <w:pPr>
              <w:widowControl/>
              <w:jc w:val="center"/>
              <w:rPr>
                <w:rFonts w:ascii="宋体" w:hAnsi="宋体" w:cs="宋体"/>
                <w:b/>
                <w:bCs/>
                <w:kern w:val="0"/>
                <w:sz w:val="24"/>
              </w:rPr>
            </w:pPr>
            <w:r>
              <w:rPr>
                <w:rFonts w:hint="eastAsia" w:ascii="宋体" w:hAnsi="宋体" w:cs="宋体"/>
                <w:b/>
                <w:bCs/>
                <w:kern w:val="0"/>
                <w:sz w:val="24"/>
              </w:rPr>
              <w:t>功能分类</w:t>
            </w:r>
          </w:p>
        </w:tc>
        <w:tc>
          <w:tcPr>
            <w:tcW w:w="2585" w:type="dxa"/>
            <w:gridSpan w:val="2"/>
            <w:vAlign w:val="center"/>
          </w:tcPr>
          <w:p>
            <w:pPr>
              <w:widowControl/>
              <w:jc w:val="center"/>
              <w:rPr>
                <w:rFonts w:ascii="宋体" w:hAnsi="宋体" w:cs="宋体"/>
                <w:b/>
                <w:bCs/>
                <w:kern w:val="0"/>
                <w:sz w:val="24"/>
              </w:rPr>
            </w:pPr>
            <w:r>
              <w:rPr>
                <w:rFonts w:hint="eastAsia" w:ascii="宋体" w:hAnsi="宋体" w:cs="宋体"/>
                <w:b/>
                <w:bCs/>
                <w:kern w:val="0"/>
                <w:sz w:val="24"/>
              </w:rPr>
              <w:t>功能模块</w:t>
            </w:r>
          </w:p>
        </w:tc>
        <w:tc>
          <w:tcPr>
            <w:tcW w:w="5788" w:type="dxa"/>
            <w:vAlign w:val="center"/>
          </w:tcPr>
          <w:p>
            <w:pPr>
              <w:widowControl/>
              <w:jc w:val="center"/>
              <w:rPr>
                <w:rFonts w:ascii="宋体" w:hAnsi="宋体" w:cs="宋体"/>
                <w:b/>
                <w:bCs/>
                <w:kern w:val="0"/>
                <w:sz w:val="24"/>
              </w:rPr>
            </w:pPr>
            <w:r>
              <w:rPr>
                <w:rFonts w:hint="eastAsia" w:ascii="宋体" w:hAnsi="宋体" w:cs="宋体"/>
                <w:b/>
                <w:bCs/>
                <w:kern w:val="0"/>
                <w:sz w:val="24"/>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594" w:type="dxa"/>
            <w:vMerge w:val="restart"/>
            <w:vAlign w:val="center"/>
          </w:tcPr>
          <w:p>
            <w:pPr>
              <w:widowControl/>
              <w:jc w:val="center"/>
              <w:rPr>
                <w:rFonts w:ascii="宋体" w:hAnsi="宋体" w:cs="宋体"/>
                <w:kern w:val="0"/>
                <w:sz w:val="24"/>
              </w:rPr>
            </w:pPr>
            <w:r>
              <w:rPr>
                <w:rFonts w:hint="eastAsia" w:ascii="宋体" w:hAnsi="宋体" w:cs="宋体"/>
                <w:kern w:val="0"/>
                <w:sz w:val="24"/>
              </w:rPr>
              <w:t>动态护理制度建档管理</w:t>
            </w: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文档管理</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文档的整理归档，不同岗位的分工进行权限分配，文档多层级多角色进行全方位管理，可对单个文档的修改、上传、下载、阅读权限进行分配管理。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护理制度权限管理</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用于管理护理人员阅读、下载、修改的权限。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护理制度与规范</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专门针对护理部以及下属部门制度、规范的管理，护理制度及规范文档由上往下的实时传达，护理工作经验文档的共享等。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在线阅读</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全院护理人员在线预览阅读，可控制只能阅读不能复制和下载。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594" w:type="dxa"/>
            <w:vMerge w:val="restart"/>
            <w:vAlign w:val="center"/>
          </w:tcPr>
          <w:p>
            <w:pPr>
              <w:widowControl/>
              <w:jc w:val="center"/>
              <w:rPr>
                <w:rFonts w:ascii="宋体" w:hAnsi="宋体" w:cs="宋体"/>
                <w:kern w:val="0"/>
                <w:sz w:val="24"/>
              </w:rPr>
            </w:pPr>
            <w:r>
              <w:rPr>
                <w:rFonts w:hint="eastAsia" w:ascii="宋体" w:hAnsi="宋体" w:cs="宋体"/>
                <w:kern w:val="0"/>
                <w:sz w:val="24"/>
              </w:rPr>
              <w:t>护理人员动态档案管理</w:t>
            </w:r>
          </w:p>
        </w:tc>
        <w:tc>
          <w:tcPr>
            <w:tcW w:w="761" w:type="dxa"/>
            <w:vMerge w:val="restart"/>
            <w:vAlign w:val="center"/>
          </w:tcPr>
          <w:p>
            <w:pPr>
              <w:widowControl/>
              <w:jc w:val="center"/>
              <w:rPr>
                <w:rFonts w:ascii="宋体" w:hAnsi="宋体" w:cs="宋体"/>
                <w:kern w:val="0"/>
                <w:sz w:val="24"/>
              </w:rPr>
            </w:pPr>
            <w:r>
              <w:rPr>
                <w:rFonts w:hint="eastAsia" w:ascii="宋体" w:hAnsi="宋体" w:cs="宋体"/>
                <w:kern w:val="0"/>
                <w:sz w:val="24"/>
              </w:rPr>
              <w:t>档案管理</w:t>
            </w:r>
          </w:p>
        </w:tc>
        <w:tc>
          <w:tcPr>
            <w:tcW w:w="1824" w:type="dxa"/>
            <w:vAlign w:val="center"/>
          </w:tcPr>
          <w:p>
            <w:pPr>
              <w:widowControl/>
              <w:jc w:val="left"/>
              <w:rPr>
                <w:rFonts w:ascii="宋体" w:hAnsi="宋体" w:cs="宋体"/>
                <w:kern w:val="0"/>
                <w:sz w:val="24"/>
              </w:rPr>
            </w:pPr>
            <w:r>
              <w:rPr>
                <w:rFonts w:hint="eastAsia" w:ascii="宋体" w:hAnsi="宋体" w:cs="宋体"/>
                <w:kern w:val="0"/>
                <w:sz w:val="24"/>
              </w:rPr>
              <w:t>护理人员基本档案---列表展示及高级查询</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1.可按职工性质分类查询；2.提供工号、姓名、简码的快速查询；3.提供人员高级查询；4.可按科室显示人员；5.可自定义显示列及列显示顺序；6.可自定义每页记录显示数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护理人员基本档案---档案导入导出</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1.可自定义excel导入模版（新增更更新）；2.excel数据导入（新增或更新）；3.excel数据导出（可自定义导出列）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人员基本信息</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工号、姓名、性别、身份证、出生日期、职工性质、</w:t>
            </w:r>
            <w:r>
              <w:rPr>
                <w:rFonts w:hint="eastAsia" w:ascii="宋体" w:hAnsi="宋体" w:cs="宋体"/>
                <w:sz w:val="24"/>
              </w:rPr>
              <w:t>学历学位、工作经历、</w:t>
            </w:r>
            <w:r>
              <w:rPr>
                <w:rFonts w:hint="eastAsia" w:ascii="宋体" w:hAnsi="宋体" w:cs="宋体"/>
                <w:kern w:val="0"/>
                <w:sz w:val="24"/>
              </w:rPr>
              <w:t>到院日期、参加工作时间、民族、籍贯等基础信息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人员联系方式</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工作电话、手机、虚拟短号、电子邮件、QQ号、家庭地址、家庭电话、紧急联系人、紧急联系电话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护士职称记录</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本人职称变动记录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护士职务记录</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本人职务变动记录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护士层级记录</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本人护士层级记录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护士教育经历</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本人护士教育经历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工作经历记录</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本人工作经历记录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执业证书信息</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护士执业证书信息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科室人员档案</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用户护士长管理本病区所有护理人员的档案。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个人档案维护</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通过权限控制，提供护理人员查询个人档案以及修改部分内容的功能。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护士照片管理</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支持个人照片维护，支持照片批量上传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证件照片管理</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职称证书、学历证书、学位证书、执业证书、计算机等级证书、英语资格证书。可以单个人维护，也可以批量上传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4" w:type="dxa"/>
            <w:vMerge w:val="continue"/>
            <w:vAlign w:val="center"/>
          </w:tcPr>
          <w:p>
            <w:pPr>
              <w:widowControl/>
              <w:jc w:val="left"/>
              <w:rPr>
                <w:rFonts w:ascii="宋体" w:hAnsi="宋体" w:cs="宋体"/>
                <w:kern w:val="0"/>
                <w:sz w:val="24"/>
              </w:rPr>
            </w:pPr>
          </w:p>
        </w:tc>
        <w:tc>
          <w:tcPr>
            <w:tcW w:w="761" w:type="dxa"/>
            <w:vMerge w:val="restart"/>
            <w:vAlign w:val="center"/>
          </w:tcPr>
          <w:p>
            <w:pPr>
              <w:widowControl/>
              <w:jc w:val="center"/>
              <w:rPr>
                <w:rFonts w:ascii="宋体" w:hAnsi="宋体" w:cs="宋体"/>
                <w:kern w:val="0"/>
                <w:sz w:val="24"/>
              </w:rPr>
            </w:pPr>
            <w:r>
              <w:rPr>
                <w:rFonts w:hint="eastAsia" w:ascii="宋体" w:hAnsi="宋体" w:cs="宋体"/>
                <w:kern w:val="0"/>
                <w:sz w:val="24"/>
              </w:rPr>
              <w:t>人员调动</w:t>
            </w:r>
          </w:p>
        </w:tc>
        <w:tc>
          <w:tcPr>
            <w:tcW w:w="1824" w:type="dxa"/>
            <w:vAlign w:val="center"/>
          </w:tcPr>
          <w:p>
            <w:pPr>
              <w:widowControl/>
              <w:jc w:val="left"/>
              <w:rPr>
                <w:rFonts w:ascii="宋体" w:hAnsi="宋体" w:cs="宋体"/>
                <w:kern w:val="0"/>
                <w:sz w:val="24"/>
              </w:rPr>
            </w:pPr>
            <w:r>
              <w:rPr>
                <w:rFonts w:hint="eastAsia" w:ascii="宋体" w:hAnsi="宋体" w:cs="宋体"/>
                <w:kern w:val="0"/>
                <w:sz w:val="24"/>
              </w:rPr>
              <w:t>护理人员调动</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1.指定到人员、调出科室、调出日期，执行调动；2.撤消调动记录，清除相关数据痕迹；同步人员调动至HRP、HIS、EMR等涉及护理的应用系统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护士批量调动</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批量调动多人，帮助减轻调动工作量；同步人员调动至HRP、HIS、EMR等涉及护理的应用系统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护理人员调动---查询分析及导出</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1.按科室、人员信息、时间段查询；2.excel导出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94" w:type="dxa"/>
            <w:vMerge w:val="continue"/>
            <w:vAlign w:val="center"/>
          </w:tcPr>
          <w:p>
            <w:pPr>
              <w:widowControl/>
              <w:jc w:val="left"/>
              <w:rPr>
                <w:rFonts w:ascii="宋体" w:hAnsi="宋体" w:cs="宋体"/>
                <w:kern w:val="0"/>
                <w:sz w:val="24"/>
              </w:rPr>
            </w:pPr>
          </w:p>
        </w:tc>
        <w:tc>
          <w:tcPr>
            <w:tcW w:w="761" w:type="dxa"/>
            <w:vMerge w:val="restart"/>
            <w:vAlign w:val="center"/>
          </w:tcPr>
          <w:p>
            <w:pPr>
              <w:widowControl/>
              <w:jc w:val="center"/>
              <w:rPr>
                <w:rFonts w:ascii="宋体" w:hAnsi="宋体" w:cs="宋体"/>
                <w:kern w:val="0"/>
                <w:sz w:val="24"/>
              </w:rPr>
            </w:pPr>
            <w:r>
              <w:rPr>
                <w:rFonts w:hint="eastAsia" w:ascii="宋体" w:hAnsi="宋体" w:cs="宋体"/>
                <w:kern w:val="0"/>
                <w:sz w:val="24"/>
              </w:rPr>
              <w:t>人员统计</w:t>
            </w:r>
          </w:p>
        </w:tc>
        <w:tc>
          <w:tcPr>
            <w:tcW w:w="1824" w:type="dxa"/>
            <w:vAlign w:val="center"/>
          </w:tcPr>
          <w:p>
            <w:pPr>
              <w:widowControl/>
              <w:jc w:val="left"/>
              <w:rPr>
                <w:rFonts w:ascii="宋体" w:hAnsi="宋体" w:cs="宋体"/>
                <w:kern w:val="0"/>
                <w:sz w:val="24"/>
              </w:rPr>
            </w:pPr>
            <w:r>
              <w:rPr>
                <w:rFonts w:hint="eastAsia" w:ascii="宋体" w:hAnsi="宋体" w:cs="宋体"/>
                <w:kern w:val="0"/>
                <w:sz w:val="24"/>
              </w:rPr>
              <w:t>护士男女比例分布分析表</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分析全院及各科男女护士比例情况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护士职务分布分析表</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分析全院及各科护士职务分布情况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护士职称分布分析表</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分析全院及各科护士职称情况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护士学历分布分析表</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分析全院及各科护士学历分布情况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护士工作年限分析表</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分析全院及各科护士工作年限情况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护士状态分析表</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分析护士人事编制情况，如在职、反聘、合同、临时等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护士离职率分析表</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分析全院及各科护士离职率.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护士层级分布表</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分析全院护士层级分布情况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护士层级汇总</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各科室各层级人员列表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护士鞋号分布分析表</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分析全院护士鞋号分布情况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各分类科室总人数</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各大类科室人数统计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执业资格到期查询</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查询某个时间结点（可以是将来）时，执业证书到期的护理人员信息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4" w:type="dxa"/>
            <w:vMerge w:val="restart"/>
            <w:vAlign w:val="center"/>
          </w:tcPr>
          <w:p>
            <w:pPr>
              <w:widowControl/>
              <w:jc w:val="center"/>
              <w:rPr>
                <w:rFonts w:ascii="宋体" w:hAnsi="宋体" w:cs="宋体"/>
                <w:kern w:val="0"/>
                <w:sz w:val="24"/>
              </w:rPr>
            </w:pPr>
            <w:r>
              <w:rPr>
                <w:rFonts w:hint="eastAsia" w:ascii="宋体" w:hAnsi="宋体" w:cs="宋体"/>
                <w:kern w:val="0"/>
                <w:sz w:val="24"/>
              </w:rPr>
              <w:t>护理排班管理</w:t>
            </w:r>
          </w:p>
        </w:tc>
        <w:tc>
          <w:tcPr>
            <w:tcW w:w="761" w:type="dxa"/>
            <w:vMerge w:val="restart"/>
            <w:vAlign w:val="center"/>
          </w:tcPr>
          <w:p>
            <w:pPr>
              <w:widowControl/>
              <w:jc w:val="center"/>
              <w:rPr>
                <w:rFonts w:ascii="宋体" w:hAnsi="宋体" w:cs="宋体"/>
                <w:kern w:val="0"/>
                <w:sz w:val="24"/>
              </w:rPr>
            </w:pPr>
            <w:r>
              <w:rPr>
                <w:rFonts w:hint="eastAsia" w:ascii="宋体" w:hAnsi="宋体" w:cs="宋体"/>
                <w:kern w:val="0"/>
                <w:sz w:val="24"/>
              </w:rPr>
              <w:t>排班设置</w:t>
            </w:r>
          </w:p>
        </w:tc>
        <w:tc>
          <w:tcPr>
            <w:tcW w:w="1824" w:type="dxa"/>
            <w:vAlign w:val="center"/>
          </w:tcPr>
          <w:p>
            <w:pPr>
              <w:widowControl/>
              <w:jc w:val="left"/>
              <w:rPr>
                <w:rFonts w:ascii="宋体" w:hAnsi="宋体" w:cs="宋体"/>
                <w:kern w:val="0"/>
                <w:sz w:val="24"/>
              </w:rPr>
            </w:pPr>
            <w:r>
              <w:rPr>
                <w:rFonts w:hint="eastAsia" w:ascii="宋体" w:hAnsi="宋体" w:cs="宋体"/>
                <w:kern w:val="0"/>
                <w:sz w:val="24"/>
              </w:rPr>
              <w:t>排班班次设置</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1.由护理部设置医院各病区需要的排班班次；2.可直接对应班次到指定排班组；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排班权限设置</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由护理部指定各班组负责排班的人，支持一个护士长给多个病区排班；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节假日管理</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初始化每年的节假日，并支持修改；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床位数维护</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1.各病区的核定床位数、固定加床、挂床、实际开放床位数的维护；2.在编人数、核定床护比、固定床护比、实际床护比的统计；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夜班费规则设置</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设置夜班费计算规则；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sz w:val="24"/>
              </w:rPr>
              <w:t>初始值设置</w:t>
            </w:r>
          </w:p>
        </w:tc>
        <w:tc>
          <w:tcPr>
            <w:tcW w:w="5788" w:type="dxa"/>
            <w:vAlign w:val="center"/>
          </w:tcPr>
          <w:p>
            <w:pPr>
              <w:adjustRightInd w:val="0"/>
              <w:snapToGrid w:val="0"/>
              <w:spacing w:before="78" w:after="78"/>
              <w:rPr>
                <w:rFonts w:ascii="宋体" w:hAnsi="宋体" w:cs="宋体"/>
                <w:kern w:val="0"/>
                <w:sz w:val="24"/>
              </w:rPr>
            </w:pPr>
            <w:r>
              <w:rPr>
                <w:rFonts w:hint="eastAsia" w:ascii="宋体" w:hAnsi="宋体" w:cs="宋体"/>
                <w:sz w:val="24"/>
              </w:rPr>
              <w:t>设置年初到系统上线之间排班累计工时和年结余工时的初始值，为当年排班统计提供历史记录初始值。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sz w:val="24"/>
              </w:rPr>
              <w:t>公休假初始值设置</w:t>
            </w:r>
          </w:p>
        </w:tc>
        <w:tc>
          <w:tcPr>
            <w:tcW w:w="5788" w:type="dxa"/>
            <w:vAlign w:val="center"/>
          </w:tcPr>
          <w:p>
            <w:pPr>
              <w:spacing w:before="78" w:after="78"/>
              <w:rPr>
                <w:rFonts w:ascii="宋体" w:hAnsi="宋体" w:cs="宋体"/>
                <w:kern w:val="0"/>
                <w:sz w:val="24"/>
              </w:rPr>
            </w:pPr>
            <w:r>
              <w:rPr>
                <w:rFonts w:hint="eastAsia" w:ascii="宋体" w:hAnsi="宋体" w:cs="宋体"/>
                <w:kern w:val="0"/>
                <w:sz w:val="24"/>
              </w:rPr>
              <w:t>以年为单位设置护士当年公休假总数；支持按照医院的规则自动生成公休假初始值</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594" w:type="dxa"/>
            <w:vMerge w:val="continue"/>
            <w:vAlign w:val="center"/>
          </w:tcPr>
          <w:p>
            <w:pPr>
              <w:widowControl/>
              <w:jc w:val="left"/>
              <w:rPr>
                <w:rFonts w:ascii="宋体" w:hAnsi="宋体" w:cs="宋体"/>
                <w:kern w:val="0"/>
                <w:sz w:val="24"/>
              </w:rPr>
            </w:pPr>
          </w:p>
        </w:tc>
        <w:tc>
          <w:tcPr>
            <w:tcW w:w="761" w:type="dxa"/>
            <w:vMerge w:val="restart"/>
            <w:vAlign w:val="center"/>
          </w:tcPr>
          <w:p>
            <w:pPr>
              <w:widowControl/>
              <w:jc w:val="center"/>
              <w:rPr>
                <w:rFonts w:ascii="宋体" w:hAnsi="宋体" w:cs="宋体"/>
                <w:kern w:val="0"/>
                <w:sz w:val="24"/>
              </w:rPr>
            </w:pPr>
            <w:r>
              <w:rPr>
                <w:rFonts w:hint="eastAsia" w:ascii="宋体" w:hAnsi="宋体" w:cs="宋体"/>
                <w:kern w:val="0"/>
                <w:sz w:val="24"/>
              </w:rPr>
              <w:t>科室排班</w:t>
            </w:r>
          </w:p>
        </w:tc>
        <w:tc>
          <w:tcPr>
            <w:tcW w:w="1824" w:type="dxa"/>
            <w:vAlign w:val="center"/>
          </w:tcPr>
          <w:p>
            <w:pPr>
              <w:widowControl/>
              <w:jc w:val="left"/>
              <w:rPr>
                <w:rFonts w:ascii="宋体" w:hAnsi="宋体" w:cs="宋体"/>
                <w:kern w:val="0"/>
                <w:sz w:val="24"/>
              </w:rPr>
            </w:pPr>
            <w:r>
              <w:rPr>
                <w:rFonts w:hint="eastAsia" w:ascii="宋体" w:hAnsi="宋体" w:cs="宋体"/>
                <w:kern w:val="0"/>
                <w:sz w:val="24"/>
              </w:rPr>
              <w:t>护理排班</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1.分单元、分人员按周填报护理人员每天排班数据及备注；2.支持一次操作多人、复制粘贴、备注功能；4.支持彩色excel导出、彩色打印；5.支持右侧输入文本；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人员每周排序</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本单元可自定义人员按周排序，并自动跟入下一周；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人员调出</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允许护士长对本单元人员调出操作；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护士外借</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对人员做临时借调操作；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班次设置</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本单元挑选自己班次；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sz w:val="24"/>
              </w:rPr>
              <w:t>排班人员管理</w:t>
            </w:r>
          </w:p>
        </w:tc>
        <w:tc>
          <w:tcPr>
            <w:tcW w:w="5788" w:type="dxa"/>
            <w:vAlign w:val="center"/>
          </w:tcPr>
          <w:p>
            <w:pPr>
              <w:widowControl/>
              <w:jc w:val="left"/>
              <w:rPr>
                <w:rFonts w:ascii="宋体" w:hAnsi="宋体" w:cs="宋体"/>
                <w:kern w:val="0"/>
                <w:sz w:val="24"/>
              </w:rPr>
            </w:pPr>
            <w:r>
              <w:rPr>
                <w:rFonts w:hint="eastAsia" w:ascii="宋体" w:hAnsi="宋体" w:cs="宋体"/>
                <w:sz w:val="24"/>
              </w:rPr>
              <w:t>按病区查询人员，并对排班人员进行分组，及维护排班人员的管床信息。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班次颜色设置</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本单元可设置班次颜色；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重载备注列</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备注列数据，可以重载上周；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导入模版</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可方便导入历史的排班模板数据；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人员调动情况</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查看本单元人员的调动情况；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761" w:type="dxa"/>
            <w:vMerge w:val="restart"/>
            <w:vAlign w:val="center"/>
          </w:tcPr>
          <w:p>
            <w:pPr>
              <w:widowControl/>
              <w:jc w:val="center"/>
              <w:rPr>
                <w:rFonts w:ascii="宋体" w:hAnsi="宋体" w:cs="宋体"/>
                <w:kern w:val="0"/>
                <w:sz w:val="24"/>
              </w:rPr>
            </w:pPr>
            <w:r>
              <w:rPr>
                <w:rFonts w:hint="eastAsia" w:ascii="宋体" w:hAnsi="宋体" w:cs="宋体"/>
                <w:kern w:val="0"/>
                <w:sz w:val="24"/>
              </w:rPr>
              <w:t>排班统计</w:t>
            </w:r>
          </w:p>
        </w:tc>
        <w:tc>
          <w:tcPr>
            <w:tcW w:w="1824" w:type="dxa"/>
            <w:vAlign w:val="center"/>
          </w:tcPr>
          <w:p>
            <w:pPr>
              <w:widowControl/>
              <w:jc w:val="left"/>
              <w:rPr>
                <w:rFonts w:ascii="宋体" w:hAnsi="宋体" w:cs="宋体"/>
                <w:kern w:val="0"/>
                <w:sz w:val="24"/>
              </w:rPr>
            </w:pPr>
            <w:r>
              <w:rPr>
                <w:rFonts w:hint="eastAsia" w:ascii="宋体" w:hAnsi="宋体" w:cs="宋体"/>
                <w:kern w:val="0"/>
                <w:sz w:val="24"/>
              </w:rPr>
              <w:t>全院排班一览</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可查看所有护理单元的排班情况；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班次数量统计</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统计一段时间内每个人各类班次的数量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全年排班汇总表</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按年度统计指定班次的班时总数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全院排时值汇总表</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按时间段统计全院班次分类班时总数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排班班次汇总表</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按时间段汇总各班次班时总数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科室每月日平均在岗人数</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按月统计科室日平均在岗人数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床护比分析表</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分析各科床护比，可实时查询当天在院病人数、当天上班护士人数及床护比；也可查询某天的实际床护比。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夜班数量统计</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统计夜班数量；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夜班费统计</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根据排班数据及夜班规则，计算夜班费。可按科室或按个人统计计算。需要支持直接导入财务系统。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restart"/>
            <w:vAlign w:val="center"/>
          </w:tcPr>
          <w:p>
            <w:pPr>
              <w:widowControl/>
              <w:jc w:val="center"/>
              <w:rPr>
                <w:rFonts w:ascii="宋体" w:hAnsi="宋体" w:cs="宋体"/>
                <w:kern w:val="0"/>
                <w:sz w:val="24"/>
              </w:rPr>
            </w:pPr>
            <w:r>
              <w:rPr>
                <w:rFonts w:hint="eastAsia" w:ascii="宋体" w:hAnsi="宋体" w:cs="宋体"/>
                <w:kern w:val="0"/>
                <w:sz w:val="24"/>
              </w:rPr>
              <w:t>质量检查与查房</w:t>
            </w: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质量检查指标维护</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分病区，分类型设置质量检查指标或项目；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center"/>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sz w:val="24"/>
              </w:rPr>
              <w:t>模板组设置</w:t>
            </w:r>
          </w:p>
        </w:tc>
        <w:tc>
          <w:tcPr>
            <w:tcW w:w="5788" w:type="dxa"/>
            <w:vAlign w:val="center"/>
          </w:tcPr>
          <w:p>
            <w:pPr>
              <w:adjustRightInd w:val="0"/>
              <w:snapToGrid w:val="0"/>
              <w:spacing w:before="78" w:after="78"/>
              <w:rPr>
                <w:rFonts w:ascii="宋体" w:hAnsi="宋体" w:cs="宋体"/>
                <w:kern w:val="0"/>
                <w:sz w:val="24"/>
              </w:rPr>
            </w:pPr>
            <w:r>
              <w:rPr>
                <w:rFonts w:hint="eastAsia" w:ascii="宋体" w:hAnsi="宋体" w:cs="宋体"/>
                <w:sz w:val="24"/>
              </w:rPr>
              <w:t>支持质量检查模板分组管理，并设置对应检查组长。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center"/>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sz w:val="24"/>
              </w:rPr>
              <w:t>模板设置</w:t>
            </w:r>
          </w:p>
        </w:tc>
        <w:tc>
          <w:tcPr>
            <w:tcW w:w="5788" w:type="dxa"/>
            <w:vAlign w:val="center"/>
          </w:tcPr>
          <w:p>
            <w:pPr>
              <w:adjustRightInd w:val="0"/>
              <w:snapToGrid w:val="0"/>
              <w:spacing w:before="78" w:after="78"/>
              <w:rPr>
                <w:rFonts w:ascii="宋体" w:hAnsi="宋体" w:cs="宋体"/>
                <w:kern w:val="0"/>
                <w:sz w:val="24"/>
              </w:rPr>
            </w:pPr>
            <w:r>
              <w:rPr>
                <w:rFonts w:hint="eastAsia" w:ascii="宋体" w:hAnsi="宋体" w:cs="宋体"/>
                <w:sz w:val="24"/>
              </w:rPr>
              <w:t>支持维护检查模板及模板版本信息，并支持excel导入模板。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center"/>
              <w:rPr>
                <w:rFonts w:ascii="宋体" w:hAnsi="宋体" w:cs="宋体"/>
                <w:kern w:val="0"/>
                <w:sz w:val="24"/>
              </w:rPr>
            </w:pPr>
          </w:p>
        </w:tc>
        <w:tc>
          <w:tcPr>
            <w:tcW w:w="2585" w:type="dxa"/>
            <w:gridSpan w:val="2"/>
            <w:vAlign w:val="center"/>
          </w:tcPr>
          <w:p>
            <w:pPr>
              <w:widowControl/>
              <w:jc w:val="left"/>
              <w:rPr>
                <w:rFonts w:ascii="宋体" w:hAnsi="宋体" w:cs="宋体"/>
                <w:sz w:val="24"/>
              </w:rPr>
            </w:pPr>
            <w:r>
              <w:rPr>
                <w:rFonts w:hint="eastAsia" w:ascii="宋体" w:hAnsi="宋体" w:cs="宋体"/>
                <w:sz w:val="24"/>
              </w:rPr>
              <w:t>质控人员设置</w:t>
            </w:r>
          </w:p>
        </w:tc>
        <w:tc>
          <w:tcPr>
            <w:tcW w:w="5788" w:type="dxa"/>
            <w:vAlign w:val="center"/>
          </w:tcPr>
          <w:p>
            <w:pPr>
              <w:adjustRightInd w:val="0"/>
              <w:snapToGrid w:val="0"/>
              <w:spacing w:before="78" w:after="78"/>
              <w:rPr>
                <w:rFonts w:ascii="宋体" w:hAnsi="宋体" w:cs="宋体"/>
                <w:sz w:val="24"/>
              </w:rPr>
            </w:pPr>
            <w:r>
              <w:rPr>
                <w:rFonts w:hint="eastAsia" w:ascii="宋体" w:hAnsi="宋体" w:cs="宋体"/>
                <w:sz w:val="24"/>
              </w:rPr>
              <w:t>设置各质控级别的检查组，及组内的检查人员。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center"/>
              <w:rPr>
                <w:rFonts w:ascii="宋体" w:hAnsi="宋体" w:cs="宋体"/>
                <w:kern w:val="0"/>
                <w:sz w:val="24"/>
              </w:rPr>
            </w:pPr>
          </w:p>
        </w:tc>
        <w:tc>
          <w:tcPr>
            <w:tcW w:w="2585" w:type="dxa"/>
            <w:gridSpan w:val="2"/>
            <w:vAlign w:val="center"/>
          </w:tcPr>
          <w:p>
            <w:pPr>
              <w:widowControl/>
              <w:jc w:val="left"/>
              <w:rPr>
                <w:rFonts w:ascii="宋体" w:hAnsi="宋体" w:cs="宋体"/>
                <w:sz w:val="24"/>
              </w:rPr>
            </w:pPr>
            <w:r>
              <w:rPr>
                <w:rFonts w:hint="eastAsia" w:ascii="宋体" w:hAnsi="宋体" w:cs="宋体"/>
                <w:sz w:val="24"/>
              </w:rPr>
              <w:t>任务分配</w:t>
            </w:r>
          </w:p>
        </w:tc>
        <w:tc>
          <w:tcPr>
            <w:tcW w:w="5788" w:type="dxa"/>
            <w:vAlign w:val="center"/>
          </w:tcPr>
          <w:p>
            <w:pPr>
              <w:adjustRightInd w:val="0"/>
              <w:snapToGrid w:val="0"/>
              <w:spacing w:before="78" w:after="78"/>
              <w:rPr>
                <w:rFonts w:ascii="宋体" w:hAnsi="宋体" w:cs="宋体"/>
                <w:sz w:val="24"/>
              </w:rPr>
            </w:pPr>
            <w:r>
              <w:rPr>
                <w:rFonts w:hint="eastAsia" w:ascii="宋体" w:hAnsi="宋体" w:cs="宋体"/>
                <w:sz w:val="24"/>
              </w:rPr>
              <w:t>支持三级质控任务分配（三级质控、二级质控、病区自查），护理部或总护士长可自行分配检查科室、检查人员、检查周期、检查份数及检查模板。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病区质量自查</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科室自查本科室的护理质量情况；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科片质量检查</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科护士长层面，组织的质量检查；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质量检查</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支持检查者查询检查模板及科室，使用平板电脑进行检查。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持续改进管理</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对于调查记录，每个检查组的组长进行审核；护理部查看各个质量检查组提交上来的检查结果，将存在问题的检查记录下发到病区。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分析与跟踪</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病区对护理部下发的问题进行原因分析并填写整改措施，护理部可以进行跟踪检查。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任务进度查看</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支持护理部、科室分别查看护理质量调查的进度。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综合原因分析与追踪</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支持按周期、按质控级别、按科室对检查任务进行批量原因分析与追踪。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查询与统计</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支持检查结果的统计与分析，针对质控类型、质控模板进行得分统计排名、扣分项目与存在问题分析，支持数据表格、柱形图、折线图、散点分布图等多种图形统计分析形式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护理部质量抽查</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护理部组织质量抽查，在此记录检查评分情况。抽查内容包括：普通科室质量检查、急诊科室质量检查、ICU质量检查、供应室质量检查、手术室质量检查、腹透质控检查、新生儿科质量检查、血透室质量检查、分娩室质量检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行政查房</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分护理部行政查房和科护士长行政查房，根据既定的行政查房项目（制度落实、安全目标、护士素质、其他）进行打分，填写扣分原因。(支持满分护理单元快速录入)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护理夜查房</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可进行护理夜查房计划、登记管理。包括记录查房日期、主查病区、查房时段、责任值班护士、其他值班护士、问题记录等。问题关键字包含护士素质、劳动纪律、病区环境、了解病情、措施到位、按时巡视、操作正规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质量检查分析</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对各病区的质量自查与抽查、行政查房、护理夜查房过程中发现的问题进行PDCA闭环管理。通过模型汇总分析，明确主要质量影响因子，为进一步提升护理质量提供帮助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质量问题汇总</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汇总质量自查与抽查、行政查房、护理夜查房过程中发现的问题，方便护理部对单项问题做多病区分析或者对某病区做重点问题分析。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护士阅读确认</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护士阅读自己及病区相关的质量问题，并签字确认；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restart"/>
            <w:vAlign w:val="center"/>
          </w:tcPr>
          <w:p>
            <w:pPr>
              <w:widowControl/>
              <w:jc w:val="left"/>
              <w:rPr>
                <w:rFonts w:ascii="宋体" w:hAnsi="宋体" w:cs="宋体"/>
                <w:kern w:val="0"/>
                <w:sz w:val="24"/>
              </w:rPr>
            </w:pPr>
            <w:r>
              <w:rPr>
                <w:rFonts w:hint="eastAsia" w:ascii="宋体" w:hAnsi="宋体" w:cs="宋体"/>
                <w:kern w:val="0"/>
                <w:sz w:val="24"/>
              </w:rPr>
              <w:t>敏感质量指标管理</w:t>
            </w:r>
          </w:p>
          <w:p>
            <w:pPr>
              <w:widowControl/>
              <w:jc w:val="left"/>
              <w:rPr>
                <w:rFonts w:ascii="宋体" w:hAnsi="宋体" w:cs="宋体"/>
                <w:kern w:val="0"/>
                <w:sz w:val="24"/>
              </w:rPr>
            </w:pPr>
          </w:p>
        </w:tc>
        <w:tc>
          <w:tcPr>
            <w:tcW w:w="2585" w:type="dxa"/>
            <w:gridSpan w:val="2"/>
            <w:vMerge w:val="restart"/>
            <w:vAlign w:val="center"/>
          </w:tcPr>
          <w:p>
            <w:pPr>
              <w:widowControl/>
              <w:jc w:val="left"/>
              <w:rPr>
                <w:rFonts w:ascii="宋体" w:hAnsi="宋体" w:cs="宋体"/>
                <w:kern w:val="0"/>
                <w:sz w:val="24"/>
              </w:rPr>
            </w:pPr>
            <w:r>
              <w:rPr>
                <w:rFonts w:hint="eastAsia" w:ascii="宋体" w:hAnsi="宋体" w:cs="宋体"/>
                <w:kern w:val="0"/>
                <w:sz w:val="24"/>
              </w:rPr>
              <w:t>参数要求</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指标变量设置：可对指标计算中所需的变量进行设置；可对变量进行增删改查及备注定义等维护操作。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Merge w:val="continue"/>
            <w:vAlign w:val="center"/>
          </w:tcPr>
          <w:p>
            <w:pPr>
              <w:widowControl/>
              <w:jc w:val="left"/>
              <w:rPr>
                <w:rFonts w:ascii="宋体" w:hAnsi="宋体" w:cs="宋体"/>
                <w:kern w:val="0"/>
                <w:sz w:val="24"/>
              </w:rPr>
            </w:pPr>
          </w:p>
        </w:tc>
        <w:tc>
          <w:tcPr>
            <w:tcW w:w="5788" w:type="dxa"/>
            <w:vAlign w:val="center"/>
          </w:tcPr>
          <w:p>
            <w:pPr>
              <w:widowControl/>
              <w:jc w:val="left"/>
              <w:rPr>
                <w:rFonts w:ascii="宋体" w:hAnsi="宋体" w:cs="宋体"/>
                <w:kern w:val="0"/>
                <w:sz w:val="24"/>
              </w:rPr>
            </w:pPr>
            <w:r>
              <w:rPr>
                <w:rFonts w:hint="eastAsia" w:ascii="宋体" w:hAnsi="宋体" w:cs="宋体"/>
                <w:kern w:val="0"/>
                <w:sz w:val="24"/>
              </w:rPr>
              <w:t>指标设置：可对国家规定的全部护理敏感质量指标的计算公式进行定义，使用指标设置中的变量对指标进行分析；可对指标进行阈值设置、修改、新增等维护管理。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Merge w:val="continue"/>
            <w:vAlign w:val="center"/>
          </w:tcPr>
          <w:p>
            <w:pPr>
              <w:widowControl/>
              <w:jc w:val="left"/>
              <w:rPr>
                <w:rFonts w:ascii="宋体" w:hAnsi="宋体" w:cs="宋体"/>
                <w:kern w:val="0"/>
                <w:sz w:val="24"/>
              </w:rPr>
            </w:pPr>
          </w:p>
        </w:tc>
        <w:tc>
          <w:tcPr>
            <w:tcW w:w="5788" w:type="dxa"/>
            <w:vAlign w:val="center"/>
          </w:tcPr>
          <w:p>
            <w:pPr>
              <w:widowControl/>
              <w:jc w:val="left"/>
              <w:rPr>
                <w:rFonts w:ascii="宋体" w:hAnsi="宋体" w:cs="宋体"/>
                <w:kern w:val="0"/>
                <w:sz w:val="24"/>
              </w:rPr>
            </w:pPr>
            <w:r>
              <w:rPr>
                <w:rFonts w:hint="eastAsia" w:ascii="宋体" w:hAnsi="宋体" w:cs="宋体"/>
                <w:kern w:val="0"/>
                <w:sz w:val="24"/>
              </w:rPr>
              <w:t>填报管理：可根据设定的数据填报周期类别（如，月、季度、年），自动提取对应周期内的填报数据，并可对提取的数据进行编辑修改，然后进行保存或存档操作。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Merge w:val="continue"/>
            <w:vAlign w:val="center"/>
          </w:tcPr>
          <w:p>
            <w:pPr>
              <w:widowControl/>
              <w:jc w:val="left"/>
              <w:rPr>
                <w:rFonts w:ascii="宋体" w:hAnsi="宋体" w:cs="宋体"/>
                <w:kern w:val="0"/>
                <w:sz w:val="24"/>
              </w:rPr>
            </w:pPr>
          </w:p>
        </w:tc>
        <w:tc>
          <w:tcPr>
            <w:tcW w:w="5788" w:type="dxa"/>
            <w:vAlign w:val="center"/>
          </w:tcPr>
          <w:p>
            <w:pPr>
              <w:widowControl/>
              <w:jc w:val="left"/>
              <w:rPr>
                <w:rFonts w:ascii="宋体" w:hAnsi="宋体" w:cs="宋体"/>
                <w:kern w:val="0"/>
                <w:sz w:val="24"/>
              </w:rPr>
            </w:pPr>
            <w:r>
              <w:rPr>
                <w:rFonts w:hint="eastAsia" w:ascii="宋体" w:hAnsi="宋体" w:cs="宋体"/>
                <w:kern w:val="0"/>
                <w:sz w:val="24"/>
              </w:rPr>
              <w:t>ICU指标填报：可针对ICU科室特有指标进行填报管理。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Merge w:val="restart"/>
            <w:vAlign w:val="center"/>
          </w:tcPr>
          <w:p>
            <w:pPr>
              <w:widowControl/>
              <w:jc w:val="left"/>
              <w:rPr>
                <w:rFonts w:ascii="宋体" w:hAnsi="宋体" w:cs="宋体"/>
                <w:kern w:val="0"/>
                <w:sz w:val="24"/>
              </w:rPr>
            </w:pPr>
            <w:r>
              <w:rPr>
                <w:rFonts w:hint="eastAsia" w:ascii="宋体" w:hAnsi="宋体" w:cs="宋体"/>
                <w:kern w:val="0"/>
                <w:sz w:val="24"/>
              </w:rPr>
              <w:t>指标分析</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指标分析：可根据填报的数据和对应指标的计算公式，对指标进行分析，支持柱状图、趋势图、饼图、表格等多种统计方式展示分析结果。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Merge w:val="continue"/>
            <w:vAlign w:val="center"/>
          </w:tcPr>
          <w:p>
            <w:pPr>
              <w:widowControl/>
              <w:jc w:val="left"/>
              <w:rPr>
                <w:rFonts w:ascii="宋体" w:hAnsi="宋体" w:cs="宋体"/>
                <w:kern w:val="0"/>
                <w:sz w:val="24"/>
              </w:rPr>
            </w:pPr>
          </w:p>
        </w:tc>
        <w:tc>
          <w:tcPr>
            <w:tcW w:w="5788" w:type="dxa"/>
            <w:vAlign w:val="center"/>
          </w:tcPr>
          <w:p>
            <w:pPr>
              <w:widowControl/>
              <w:jc w:val="left"/>
              <w:rPr>
                <w:rFonts w:ascii="宋体" w:hAnsi="宋体" w:cs="宋体"/>
                <w:kern w:val="0"/>
                <w:sz w:val="24"/>
              </w:rPr>
            </w:pPr>
            <w:r>
              <w:rPr>
                <w:rFonts w:hint="eastAsia" w:ascii="宋体" w:hAnsi="宋体" w:cs="宋体"/>
                <w:kern w:val="0"/>
                <w:sz w:val="24"/>
              </w:rPr>
              <w:t>床护比：可根据统计周期和对应填报数据计算执业护士数与实际开放床位数之比。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Merge w:val="continue"/>
            <w:vAlign w:val="center"/>
          </w:tcPr>
          <w:p>
            <w:pPr>
              <w:widowControl/>
              <w:jc w:val="left"/>
              <w:rPr>
                <w:rFonts w:ascii="宋体" w:hAnsi="宋体" w:cs="宋体"/>
                <w:kern w:val="0"/>
                <w:sz w:val="24"/>
              </w:rPr>
            </w:pPr>
          </w:p>
        </w:tc>
        <w:tc>
          <w:tcPr>
            <w:tcW w:w="5788" w:type="dxa"/>
            <w:vAlign w:val="center"/>
          </w:tcPr>
          <w:p>
            <w:pPr>
              <w:widowControl/>
              <w:jc w:val="left"/>
              <w:rPr>
                <w:rFonts w:ascii="宋体" w:hAnsi="宋体" w:cs="宋体"/>
                <w:kern w:val="0"/>
                <w:sz w:val="24"/>
              </w:rPr>
            </w:pPr>
            <w:r>
              <w:rPr>
                <w:rFonts w:hint="eastAsia" w:ascii="宋体" w:hAnsi="宋体" w:cs="宋体"/>
                <w:kern w:val="0"/>
                <w:sz w:val="24"/>
              </w:rPr>
              <w:t>护患比：根据统计周期和对应填报数据计算责任护士总数与收治患者总数之比（护患比）、白班责任护士数与白班收治患者数之比（白班护患比）与夜班责任护士数与夜班收治患者数之比（夜班护患比）。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Merge w:val="continue"/>
            <w:vAlign w:val="center"/>
          </w:tcPr>
          <w:p>
            <w:pPr>
              <w:widowControl/>
              <w:jc w:val="left"/>
              <w:rPr>
                <w:rFonts w:ascii="宋体" w:hAnsi="宋体" w:cs="宋体"/>
                <w:kern w:val="0"/>
                <w:sz w:val="24"/>
              </w:rPr>
            </w:pPr>
          </w:p>
        </w:tc>
        <w:tc>
          <w:tcPr>
            <w:tcW w:w="5788" w:type="dxa"/>
            <w:vAlign w:val="center"/>
          </w:tcPr>
          <w:p>
            <w:pPr>
              <w:widowControl/>
              <w:jc w:val="left"/>
              <w:rPr>
                <w:rFonts w:ascii="宋体" w:hAnsi="宋体" w:cs="宋体"/>
                <w:kern w:val="0"/>
                <w:sz w:val="24"/>
              </w:rPr>
            </w:pPr>
            <w:r>
              <w:rPr>
                <w:rFonts w:hint="eastAsia" w:ascii="宋体" w:hAnsi="宋体" w:cs="宋体"/>
                <w:kern w:val="0"/>
                <w:sz w:val="24"/>
              </w:rPr>
              <w:t>每住院患者24小时平均护理时数：可统计周期内患者平均每天实际得到的护理时数。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Merge w:val="continue"/>
            <w:vAlign w:val="center"/>
          </w:tcPr>
          <w:p>
            <w:pPr>
              <w:widowControl/>
              <w:jc w:val="left"/>
              <w:rPr>
                <w:rFonts w:ascii="宋体" w:hAnsi="宋体" w:cs="宋体"/>
                <w:kern w:val="0"/>
                <w:sz w:val="24"/>
              </w:rPr>
            </w:pPr>
          </w:p>
        </w:tc>
        <w:tc>
          <w:tcPr>
            <w:tcW w:w="5788" w:type="dxa"/>
            <w:vAlign w:val="center"/>
          </w:tcPr>
          <w:p>
            <w:pPr>
              <w:widowControl/>
              <w:jc w:val="left"/>
              <w:rPr>
                <w:rFonts w:ascii="宋体" w:hAnsi="宋体" w:cs="宋体"/>
                <w:kern w:val="0"/>
                <w:sz w:val="24"/>
              </w:rPr>
            </w:pPr>
            <w:r>
              <w:rPr>
                <w:rFonts w:hint="eastAsia" w:ascii="宋体" w:hAnsi="宋体" w:cs="宋体"/>
                <w:kern w:val="0"/>
                <w:sz w:val="24"/>
              </w:rPr>
              <w:t>不同级别护士配置分析：支持不同工作年限护士配置分析，可根据不同工作年限对护士配置进行分析；支持不同学历护士配置分析，可根据不同学历对护士配置进行分析；支持不同职称护士配置分析，可根据不同职称对护士配置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Merge w:val="continue"/>
            <w:vAlign w:val="center"/>
          </w:tcPr>
          <w:p>
            <w:pPr>
              <w:widowControl/>
              <w:jc w:val="left"/>
              <w:rPr>
                <w:rFonts w:ascii="宋体" w:hAnsi="宋体" w:cs="宋体"/>
                <w:kern w:val="0"/>
                <w:sz w:val="24"/>
              </w:rPr>
            </w:pPr>
          </w:p>
        </w:tc>
        <w:tc>
          <w:tcPr>
            <w:tcW w:w="5788" w:type="dxa"/>
            <w:vAlign w:val="center"/>
          </w:tcPr>
          <w:p>
            <w:pPr>
              <w:widowControl/>
              <w:jc w:val="left"/>
              <w:rPr>
                <w:rFonts w:ascii="宋体" w:hAnsi="宋体" w:cs="宋体"/>
                <w:kern w:val="0"/>
                <w:sz w:val="24"/>
              </w:rPr>
            </w:pPr>
            <w:r>
              <w:rPr>
                <w:rFonts w:hint="eastAsia" w:ascii="宋体" w:hAnsi="宋体" w:cs="宋体"/>
                <w:kern w:val="0"/>
                <w:sz w:val="24"/>
              </w:rPr>
              <w:t>护士离职率分析：支持不同工作年限护士离职率分析，可统计某一周期内不同工作年限护士的离职率，对不同工作年限护士离职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Merge w:val="continue"/>
            <w:vAlign w:val="center"/>
          </w:tcPr>
          <w:p>
            <w:pPr>
              <w:widowControl/>
              <w:jc w:val="left"/>
              <w:rPr>
                <w:rFonts w:ascii="宋体" w:hAnsi="宋体" w:cs="宋体"/>
                <w:kern w:val="0"/>
                <w:sz w:val="24"/>
              </w:rPr>
            </w:pPr>
          </w:p>
        </w:tc>
        <w:tc>
          <w:tcPr>
            <w:tcW w:w="5788" w:type="dxa"/>
            <w:vAlign w:val="center"/>
          </w:tcPr>
          <w:p>
            <w:pPr>
              <w:widowControl/>
              <w:jc w:val="left"/>
              <w:rPr>
                <w:rFonts w:ascii="宋体" w:hAnsi="宋体" w:cs="宋体"/>
                <w:kern w:val="0"/>
                <w:sz w:val="24"/>
              </w:rPr>
            </w:pPr>
            <w:r>
              <w:rPr>
                <w:rFonts w:hint="eastAsia" w:ascii="宋体" w:hAnsi="宋体" w:cs="宋体"/>
                <w:kern w:val="0"/>
                <w:sz w:val="24"/>
              </w:rPr>
              <w:t>率进行对比分析；支持不同学历护士离职率分析，可统计某一周期内不同学历护士的离职率，对不同学历护士离职率进行对比分析；支持不同职称护士离职率分析，可统计某一周期内不同职称护士的离职率，对不同职称护士离职率进行对比分析；支持护士离职率分析，可统计周期内护士的离职率，对护士队伍的整体稳定性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Merge w:val="continue"/>
            <w:vAlign w:val="center"/>
          </w:tcPr>
          <w:p>
            <w:pPr>
              <w:widowControl/>
              <w:jc w:val="left"/>
              <w:rPr>
                <w:rFonts w:ascii="宋体" w:hAnsi="宋体" w:cs="宋体"/>
                <w:kern w:val="0"/>
                <w:sz w:val="24"/>
              </w:rPr>
            </w:pPr>
          </w:p>
        </w:tc>
        <w:tc>
          <w:tcPr>
            <w:tcW w:w="5788" w:type="dxa"/>
            <w:vAlign w:val="center"/>
          </w:tcPr>
          <w:p>
            <w:pPr>
              <w:widowControl/>
              <w:jc w:val="left"/>
              <w:rPr>
                <w:rFonts w:ascii="宋体" w:hAnsi="宋体" w:cs="宋体"/>
                <w:kern w:val="0"/>
                <w:sz w:val="24"/>
              </w:rPr>
            </w:pPr>
            <w:r>
              <w:rPr>
                <w:rFonts w:hint="eastAsia" w:ascii="宋体" w:hAnsi="宋体" w:cs="宋体"/>
                <w:kern w:val="0"/>
                <w:sz w:val="24"/>
              </w:rPr>
              <w:t>住院患者跌倒发生率分析：支持住院患者跌倒发生率分析，可统计周期内在院患者发生跌倒的数据分析；支持住院患者跌倒伤害率分析，可统计周期内在院患者发生跌倒且发生伤害的数据分析；支持住院患者跌倒伤害某等级比率分析，可对统计周期内院内不同跌倒伤害等级的发生情况进行对比分析。</w:t>
            </w:r>
          </w:p>
          <w:p>
            <w:pPr>
              <w:widowControl/>
              <w:jc w:val="left"/>
              <w:rPr>
                <w:rFonts w:ascii="宋体" w:hAnsi="宋体" w:cs="宋体"/>
                <w:kern w:val="0"/>
                <w:sz w:val="24"/>
              </w:rPr>
            </w:pPr>
            <w:r>
              <w:rPr>
                <w:rFonts w:hint="eastAsia" w:ascii="宋体" w:hAnsi="宋体" w:cs="宋体"/>
                <w:kern w:val="0"/>
                <w:sz w:val="24"/>
              </w:rPr>
              <w:t>院内压疮发生率分析：支持二期及以上院内压疮发生率分析，可统计周期内发生二期及其以上院内发生的比率进行分析；支持某期院内压疮发生占比分析，可按照压疮的级别对不同期的院内压疮情况进行占比分析；支持院内压疮发生率分析，可统计周期内院内压疮的整体发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Merge w:val="continue"/>
            <w:vAlign w:val="center"/>
          </w:tcPr>
          <w:p>
            <w:pPr>
              <w:widowControl/>
              <w:jc w:val="left"/>
              <w:rPr>
                <w:rFonts w:ascii="宋体" w:hAnsi="宋体" w:cs="宋体"/>
                <w:kern w:val="0"/>
                <w:sz w:val="24"/>
              </w:rPr>
            </w:pPr>
          </w:p>
        </w:tc>
        <w:tc>
          <w:tcPr>
            <w:tcW w:w="5788" w:type="dxa"/>
            <w:vAlign w:val="center"/>
          </w:tcPr>
          <w:p>
            <w:pPr>
              <w:widowControl/>
              <w:jc w:val="left"/>
              <w:rPr>
                <w:rFonts w:ascii="宋体" w:hAnsi="宋体" w:cs="宋体"/>
                <w:kern w:val="0"/>
                <w:sz w:val="24"/>
              </w:rPr>
            </w:pPr>
            <w:r>
              <w:rPr>
                <w:rFonts w:hint="eastAsia" w:ascii="宋体" w:hAnsi="宋体" w:cs="宋体"/>
                <w:kern w:val="0"/>
                <w:sz w:val="24"/>
              </w:rPr>
              <w:t>住院患者身体约束率分析：支持住院患者身体约束率分析，可统计周期内住院患者约束具使用天数占统计周期内住院患者总人日数的百分率。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Merge w:val="continue"/>
            <w:vAlign w:val="center"/>
          </w:tcPr>
          <w:p>
            <w:pPr>
              <w:widowControl/>
              <w:jc w:val="left"/>
              <w:rPr>
                <w:rFonts w:ascii="宋体" w:hAnsi="宋体" w:cs="宋体"/>
                <w:kern w:val="0"/>
                <w:sz w:val="24"/>
              </w:rPr>
            </w:pPr>
          </w:p>
        </w:tc>
        <w:tc>
          <w:tcPr>
            <w:tcW w:w="5788" w:type="dxa"/>
            <w:vAlign w:val="center"/>
          </w:tcPr>
          <w:p>
            <w:pPr>
              <w:widowControl/>
              <w:jc w:val="left"/>
              <w:rPr>
                <w:rFonts w:ascii="宋体" w:hAnsi="宋体" w:cs="宋体"/>
                <w:kern w:val="0"/>
                <w:sz w:val="24"/>
              </w:rPr>
            </w:pPr>
            <w:r>
              <w:rPr>
                <w:rFonts w:hint="eastAsia" w:ascii="宋体" w:hAnsi="宋体" w:cs="宋体"/>
                <w:kern w:val="0"/>
                <w:sz w:val="24"/>
              </w:rPr>
              <w:t>插管患者非计划拔管发生率分析：支持导尿管非计划拔管发生率分析，可统计周期内住院患者导尿管非计划拔管的发生情况；支持胃肠管非计划拔管发生率分析，可统计周期内住院患者胃肠管非计划拔管的发生情况；支持气管非计划拔管发生率分析，可统计周期内住院患者气管非计划拔管的发生情况；支持中心导管非计划拔管发生率分析，可统计周期内住院患者中心导管非计划拔管的发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Merge w:val="continue"/>
            <w:vAlign w:val="center"/>
          </w:tcPr>
          <w:p>
            <w:pPr>
              <w:widowControl/>
              <w:jc w:val="left"/>
              <w:rPr>
                <w:rFonts w:ascii="宋体" w:hAnsi="宋体" w:cs="宋体"/>
                <w:kern w:val="0"/>
                <w:sz w:val="24"/>
              </w:rPr>
            </w:pPr>
          </w:p>
        </w:tc>
        <w:tc>
          <w:tcPr>
            <w:tcW w:w="5788" w:type="dxa"/>
            <w:vAlign w:val="center"/>
          </w:tcPr>
          <w:p>
            <w:pPr>
              <w:widowControl/>
              <w:jc w:val="left"/>
              <w:rPr>
                <w:rFonts w:ascii="宋体" w:hAnsi="宋体" w:cs="宋体"/>
                <w:kern w:val="0"/>
                <w:sz w:val="24"/>
              </w:rPr>
            </w:pPr>
            <w:r>
              <w:rPr>
                <w:rFonts w:hint="eastAsia" w:ascii="宋体" w:hAnsi="宋体" w:cs="宋体"/>
                <w:kern w:val="0"/>
                <w:sz w:val="24"/>
              </w:rPr>
              <w:t>ICU导尿管相关尿路感染发生率分析：支持ICU导尿管相关尿路感染发生率分析，可统计周期内住院患者导尿管相关尿路感染的发生情况。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Merge w:val="continue"/>
            <w:vAlign w:val="center"/>
          </w:tcPr>
          <w:p>
            <w:pPr>
              <w:widowControl/>
              <w:jc w:val="left"/>
              <w:rPr>
                <w:rFonts w:ascii="宋体" w:hAnsi="宋体" w:cs="宋体"/>
                <w:kern w:val="0"/>
                <w:sz w:val="24"/>
              </w:rPr>
            </w:pPr>
          </w:p>
        </w:tc>
        <w:tc>
          <w:tcPr>
            <w:tcW w:w="5788" w:type="dxa"/>
            <w:vAlign w:val="center"/>
          </w:tcPr>
          <w:p>
            <w:pPr>
              <w:widowControl/>
              <w:jc w:val="left"/>
              <w:rPr>
                <w:rFonts w:ascii="宋体" w:hAnsi="宋体" w:cs="宋体"/>
                <w:kern w:val="0"/>
                <w:sz w:val="24"/>
              </w:rPr>
            </w:pPr>
            <w:r>
              <w:rPr>
                <w:rFonts w:hint="eastAsia" w:ascii="宋体" w:hAnsi="宋体" w:cs="宋体"/>
                <w:kern w:val="0"/>
                <w:sz w:val="24"/>
              </w:rPr>
              <w:t>ICU中心导管相关血流感染发生率分析：支持ICU中心导管相关血流感染发生率分析，可统计周期内住院患者中心导管相关血流感染的发生情况。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Merge w:val="continue"/>
            <w:vAlign w:val="center"/>
          </w:tcPr>
          <w:p>
            <w:pPr>
              <w:widowControl/>
              <w:jc w:val="left"/>
              <w:rPr>
                <w:rFonts w:ascii="宋体" w:hAnsi="宋体" w:cs="宋体"/>
                <w:kern w:val="0"/>
                <w:sz w:val="24"/>
              </w:rPr>
            </w:pPr>
          </w:p>
        </w:tc>
        <w:tc>
          <w:tcPr>
            <w:tcW w:w="5788" w:type="dxa"/>
            <w:vAlign w:val="center"/>
          </w:tcPr>
          <w:p>
            <w:pPr>
              <w:widowControl/>
              <w:jc w:val="left"/>
              <w:rPr>
                <w:rFonts w:ascii="宋体" w:hAnsi="宋体" w:cs="宋体"/>
                <w:kern w:val="0"/>
                <w:sz w:val="24"/>
              </w:rPr>
            </w:pPr>
            <w:r>
              <w:rPr>
                <w:rFonts w:hint="eastAsia" w:ascii="宋体" w:hAnsi="宋体" w:cs="宋体"/>
                <w:kern w:val="0"/>
                <w:sz w:val="24"/>
              </w:rPr>
              <w:t>ICU呼吸机相关性肺炎发生率分析：支持ICU呼吸机相关性肺炎发生率分析，可统计周期内使用有创通气的住院患者中发生呼吸机相关性肺炎的情况。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系统配置</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1）菜单管理：支持管理系统菜单，包括新增、修改、删除等功能。</w:t>
            </w:r>
          </w:p>
          <w:p>
            <w:pPr>
              <w:widowControl/>
              <w:jc w:val="left"/>
              <w:rPr>
                <w:rFonts w:ascii="宋体" w:hAnsi="宋体" w:cs="宋体"/>
                <w:kern w:val="0"/>
                <w:sz w:val="24"/>
              </w:rPr>
            </w:pPr>
            <w:r>
              <w:rPr>
                <w:rFonts w:hint="eastAsia" w:ascii="宋体" w:hAnsi="宋体" w:cs="宋体"/>
                <w:kern w:val="0"/>
                <w:sz w:val="24"/>
              </w:rPr>
              <w:t>2）部门维护：支持管理系统科室层级关系，由HIS接口同步科室数据，在系统中维护科室层级。</w:t>
            </w:r>
          </w:p>
          <w:p>
            <w:pPr>
              <w:widowControl/>
              <w:jc w:val="left"/>
              <w:rPr>
                <w:rFonts w:ascii="宋体" w:hAnsi="宋体" w:cs="宋体"/>
                <w:kern w:val="0"/>
                <w:sz w:val="24"/>
              </w:rPr>
            </w:pPr>
            <w:r>
              <w:rPr>
                <w:rFonts w:hint="eastAsia" w:ascii="宋体" w:hAnsi="宋体" w:cs="宋体"/>
                <w:kern w:val="0"/>
                <w:sz w:val="24"/>
              </w:rPr>
              <w:t>3）角色管理：支持管理系统中角色的新增、修改和删除。可配置各个角色的菜单权限。</w:t>
            </w:r>
          </w:p>
          <w:p>
            <w:pPr>
              <w:widowControl/>
              <w:jc w:val="left"/>
              <w:rPr>
                <w:rFonts w:ascii="宋体" w:hAnsi="宋体" w:cs="宋体"/>
                <w:kern w:val="0"/>
                <w:sz w:val="24"/>
              </w:rPr>
            </w:pPr>
            <w:r>
              <w:rPr>
                <w:rFonts w:hint="eastAsia" w:ascii="宋体" w:hAnsi="宋体" w:cs="宋体"/>
                <w:kern w:val="0"/>
                <w:sz w:val="24"/>
              </w:rPr>
              <w:t>4）用户管理：支持管理系统中用户的同步、新增、修改、删除。可配置各个用户的角色权限和科室权限。</w:t>
            </w:r>
          </w:p>
          <w:p>
            <w:pPr>
              <w:widowControl/>
              <w:jc w:val="left"/>
              <w:rPr>
                <w:rFonts w:ascii="宋体" w:hAnsi="宋体" w:cs="宋体"/>
                <w:kern w:val="0"/>
                <w:sz w:val="24"/>
              </w:rPr>
            </w:pPr>
            <w:r>
              <w:rPr>
                <w:rFonts w:hint="eastAsia" w:ascii="宋体" w:hAnsi="宋体" w:cs="宋体"/>
                <w:kern w:val="0"/>
                <w:sz w:val="24"/>
              </w:rPr>
              <w:t>5）任务调度：管理配置定时任务，自动按时提取敏感指标数据</w:t>
            </w:r>
          </w:p>
          <w:p>
            <w:pPr>
              <w:widowControl/>
              <w:jc w:val="left"/>
              <w:rPr>
                <w:rFonts w:ascii="宋体" w:hAnsi="宋体" w:cs="宋体"/>
                <w:kern w:val="0"/>
                <w:sz w:val="24"/>
              </w:rPr>
            </w:pPr>
            <w:r>
              <w:rPr>
                <w:rFonts w:hint="eastAsia" w:ascii="宋体" w:hAnsi="宋体" w:cs="宋体"/>
                <w:kern w:val="0"/>
                <w:sz w:val="24"/>
              </w:rPr>
              <w:t>6）系统参数：可管理系统中固定的参数数据。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restart"/>
            <w:vAlign w:val="center"/>
          </w:tcPr>
          <w:p>
            <w:pPr>
              <w:widowControl/>
              <w:jc w:val="left"/>
              <w:rPr>
                <w:rFonts w:ascii="宋体" w:hAnsi="宋体" w:cs="宋体"/>
                <w:kern w:val="0"/>
                <w:sz w:val="24"/>
              </w:rPr>
            </w:pPr>
            <w:r>
              <w:rPr>
                <w:rFonts w:hint="eastAsia" w:ascii="宋体" w:hAnsi="宋体" w:cs="宋体"/>
                <w:sz w:val="24"/>
              </w:rPr>
              <w:t>护士长手册</w:t>
            </w:r>
          </w:p>
        </w:tc>
        <w:tc>
          <w:tcPr>
            <w:tcW w:w="8373" w:type="dxa"/>
            <w:gridSpan w:val="3"/>
            <w:vAlign w:val="center"/>
          </w:tcPr>
          <w:p>
            <w:pPr>
              <w:adjustRightInd w:val="0"/>
              <w:snapToGrid w:val="0"/>
              <w:spacing w:before="78" w:after="78"/>
              <w:rPr>
                <w:rFonts w:ascii="宋体" w:hAnsi="宋体" w:cs="宋体"/>
                <w:kern w:val="0"/>
                <w:sz w:val="24"/>
              </w:rPr>
            </w:pPr>
            <w:r>
              <w:rPr>
                <w:rFonts w:hint="eastAsia" w:ascii="宋体" w:hAnsi="宋体" w:cs="宋体"/>
                <w:sz w:val="24"/>
              </w:rPr>
              <w:t>设置板块和栏目，配置上传、访问、下载和打印权限。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8373" w:type="dxa"/>
            <w:gridSpan w:val="3"/>
            <w:vAlign w:val="center"/>
          </w:tcPr>
          <w:p>
            <w:pPr>
              <w:adjustRightInd w:val="0"/>
              <w:snapToGrid w:val="0"/>
              <w:spacing w:before="78" w:after="78"/>
              <w:rPr>
                <w:rFonts w:ascii="宋体" w:hAnsi="宋体" w:cs="宋体"/>
                <w:kern w:val="0"/>
                <w:sz w:val="24"/>
              </w:rPr>
            </w:pPr>
            <w:r>
              <w:rPr>
                <w:rFonts w:hint="eastAsia" w:ascii="宋体" w:hAnsi="宋体" w:cs="宋体"/>
                <w:sz w:val="24"/>
              </w:rPr>
              <w:t>维护各栏目的文档资料信息，可供上传，下载，预览和打印。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8373" w:type="dxa"/>
            <w:gridSpan w:val="3"/>
            <w:vAlign w:val="center"/>
          </w:tcPr>
          <w:p>
            <w:pPr>
              <w:adjustRightInd w:val="0"/>
              <w:snapToGrid w:val="0"/>
              <w:spacing w:before="78" w:after="78"/>
              <w:rPr>
                <w:rFonts w:ascii="宋体" w:hAnsi="宋体" w:cs="宋体"/>
                <w:kern w:val="0"/>
                <w:sz w:val="24"/>
              </w:rPr>
            </w:pPr>
            <w:r>
              <w:rPr>
                <w:rFonts w:hint="eastAsia" w:ascii="宋体" w:hAnsi="宋体" w:cs="宋体"/>
                <w:sz w:val="24"/>
              </w:rPr>
              <w:t>工作计划：科室护士长录入年计划内容、每月各周计划和安排，提交后由护理部审核。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8373" w:type="dxa"/>
            <w:gridSpan w:val="3"/>
            <w:vAlign w:val="center"/>
          </w:tcPr>
          <w:p>
            <w:pPr>
              <w:adjustRightInd w:val="0"/>
              <w:snapToGrid w:val="0"/>
              <w:spacing w:before="78" w:after="78"/>
              <w:rPr>
                <w:rFonts w:ascii="宋体" w:hAnsi="宋体" w:cs="宋体"/>
                <w:kern w:val="0"/>
                <w:sz w:val="24"/>
              </w:rPr>
            </w:pPr>
            <w:r>
              <w:rPr>
                <w:rFonts w:hint="eastAsia" w:ascii="宋体" w:hAnsi="宋体" w:cs="宋体"/>
                <w:sz w:val="24"/>
              </w:rPr>
              <w:t>工作总结：护士长录入每月、每季度、每年的总结，提交后交由护理部审核。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8373" w:type="dxa"/>
            <w:gridSpan w:val="3"/>
            <w:vAlign w:val="center"/>
          </w:tcPr>
          <w:p>
            <w:pPr>
              <w:adjustRightInd w:val="0"/>
              <w:snapToGrid w:val="0"/>
              <w:spacing w:before="78" w:after="78"/>
              <w:rPr>
                <w:rFonts w:ascii="宋体" w:hAnsi="宋体" w:cs="宋体"/>
                <w:kern w:val="0"/>
                <w:sz w:val="24"/>
              </w:rPr>
            </w:pPr>
            <w:r>
              <w:rPr>
                <w:rFonts w:hint="eastAsia" w:ascii="宋体" w:hAnsi="宋体" w:cs="宋体"/>
                <w:sz w:val="24"/>
              </w:rPr>
              <w:t>各科室录入本科室大事件，提交后由护理部审核。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8373" w:type="dxa"/>
            <w:gridSpan w:val="3"/>
            <w:vAlign w:val="center"/>
          </w:tcPr>
          <w:p>
            <w:pPr>
              <w:adjustRightInd w:val="0"/>
              <w:snapToGrid w:val="0"/>
              <w:spacing w:before="78" w:after="78"/>
              <w:rPr>
                <w:rFonts w:ascii="宋体" w:hAnsi="宋体" w:cs="宋体"/>
                <w:sz w:val="24"/>
              </w:rPr>
            </w:pPr>
            <w:r>
              <w:rPr>
                <w:rFonts w:hint="eastAsia" w:ascii="宋体" w:hAnsi="宋体" w:cs="宋体"/>
                <w:sz w:val="24"/>
              </w:rPr>
              <w:t>各科室录入本科室业务查房记录，提交后由护理部审核，支持上传附件。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8373" w:type="dxa"/>
            <w:gridSpan w:val="3"/>
            <w:vAlign w:val="center"/>
          </w:tcPr>
          <w:p>
            <w:pPr>
              <w:adjustRightInd w:val="0"/>
              <w:snapToGrid w:val="0"/>
              <w:spacing w:before="78" w:after="78"/>
              <w:rPr>
                <w:rFonts w:ascii="宋体" w:hAnsi="宋体" w:cs="宋体"/>
                <w:sz w:val="24"/>
              </w:rPr>
            </w:pPr>
            <w:r>
              <w:rPr>
                <w:rFonts w:hint="eastAsia" w:ascii="宋体" w:hAnsi="宋体" w:cs="宋体"/>
                <w:sz w:val="24"/>
              </w:rPr>
              <w:t>各科室录入本科室创新新项目记录，提交后由护理部审核，支持上传附件。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8373" w:type="dxa"/>
            <w:gridSpan w:val="3"/>
            <w:vAlign w:val="center"/>
          </w:tcPr>
          <w:p>
            <w:pPr>
              <w:adjustRightInd w:val="0"/>
              <w:snapToGrid w:val="0"/>
              <w:spacing w:before="78" w:after="78"/>
              <w:rPr>
                <w:rFonts w:ascii="宋体" w:hAnsi="宋体" w:cs="宋体"/>
                <w:sz w:val="24"/>
              </w:rPr>
            </w:pPr>
            <w:r>
              <w:rPr>
                <w:rFonts w:hint="eastAsia" w:ascii="宋体" w:hAnsi="宋体" w:cs="宋体"/>
                <w:sz w:val="24"/>
              </w:rPr>
              <w:t>各科室录入本科室公休座谈会记录，提交后由护理部审核，支持记录导出。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8373" w:type="dxa"/>
            <w:gridSpan w:val="3"/>
            <w:vAlign w:val="center"/>
          </w:tcPr>
          <w:p>
            <w:pPr>
              <w:adjustRightInd w:val="0"/>
              <w:snapToGrid w:val="0"/>
              <w:spacing w:before="78" w:after="78"/>
              <w:rPr>
                <w:rFonts w:ascii="宋体" w:hAnsi="宋体" w:cs="宋体"/>
                <w:sz w:val="24"/>
              </w:rPr>
            </w:pPr>
            <w:r>
              <w:rPr>
                <w:rFonts w:hint="eastAsia" w:ascii="宋体" w:hAnsi="宋体" w:cs="宋体"/>
                <w:sz w:val="24"/>
              </w:rPr>
              <w:t>各科室录入本科室护理安全/护理质量内容，原因分析和整改措施，提交后由护理部审核。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8373" w:type="dxa"/>
            <w:gridSpan w:val="3"/>
            <w:vAlign w:val="center"/>
          </w:tcPr>
          <w:p>
            <w:pPr>
              <w:adjustRightInd w:val="0"/>
              <w:snapToGrid w:val="0"/>
              <w:spacing w:before="78" w:after="78"/>
              <w:rPr>
                <w:rFonts w:ascii="宋体" w:hAnsi="宋体" w:cs="宋体"/>
                <w:sz w:val="24"/>
              </w:rPr>
            </w:pPr>
            <w:r>
              <w:rPr>
                <w:rFonts w:hint="eastAsia" w:ascii="宋体" w:hAnsi="宋体" w:cs="宋体"/>
                <w:sz w:val="24"/>
              </w:rPr>
              <w:t>各科室录入晨会记录信息，提交后由护理部审核。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8373" w:type="dxa"/>
            <w:gridSpan w:val="3"/>
            <w:vAlign w:val="center"/>
          </w:tcPr>
          <w:p>
            <w:pPr>
              <w:adjustRightInd w:val="0"/>
              <w:snapToGrid w:val="0"/>
              <w:spacing w:before="78" w:after="78"/>
              <w:rPr>
                <w:rFonts w:ascii="宋体" w:hAnsi="宋体" w:cs="宋体"/>
                <w:sz w:val="24"/>
              </w:rPr>
            </w:pPr>
            <w:r>
              <w:rPr>
                <w:rFonts w:hint="eastAsia" w:ascii="宋体" w:hAnsi="宋体" w:cs="宋体"/>
                <w:sz w:val="24"/>
              </w:rPr>
              <w:t>护理部按年录入年度工作计划、总结。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8373" w:type="dxa"/>
            <w:gridSpan w:val="3"/>
            <w:vAlign w:val="center"/>
          </w:tcPr>
          <w:p>
            <w:pPr>
              <w:adjustRightInd w:val="0"/>
              <w:snapToGrid w:val="0"/>
              <w:spacing w:before="78" w:after="78"/>
              <w:rPr>
                <w:rFonts w:ascii="宋体" w:hAnsi="宋体" w:cs="宋体"/>
                <w:sz w:val="24"/>
              </w:rPr>
            </w:pPr>
            <w:r>
              <w:rPr>
                <w:rFonts w:hint="eastAsia" w:ascii="宋体" w:hAnsi="宋体" w:cs="宋体"/>
                <w:sz w:val="24"/>
              </w:rPr>
              <w:t>护理部按月录入上月未完成事项、本月工作计划以及月度具体事项和进展情况。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8373" w:type="dxa"/>
            <w:gridSpan w:val="3"/>
            <w:vAlign w:val="center"/>
          </w:tcPr>
          <w:p>
            <w:pPr>
              <w:adjustRightInd w:val="0"/>
              <w:snapToGrid w:val="0"/>
              <w:spacing w:before="78" w:after="78"/>
              <w:rPr>
                <w:rFonts w:ascii="宋体" w:hAnsi="宋体" w:cs="宋体"/>
                <w:sz w:val="24"/>
              </w:rPr>
            </w:pPr>
            <w:r>
              <w:rPr>
                <w:rFonts w:hint="eastAsia" w:ascii="宋体" w:hAnsi="宋体" w:cs="宋体"/>
                <w:sz w:val="24"/>
              </w:rPr>
              <w:t>护理部录入业务查房记录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1594" w:type="dxa"/>
            <w:vMerge w:val="restart"/>
            <w:vAlign w:val="center"/>
          </w:tcPr>
          <w:p>
            <w:pPr>
              <w:widowControl/>
              <w:jc w:val="center"/>
              <w:rPr>
                <w:rFonts w:ascii="宋体" w:hAnsi="宋体" w:cs="宋体"/>
                <w:kern w:val="0"/>
                <w:sz w:val="24"/>
              </w:rPr>
            </w:pPr>
            <w:r>
              <w:rPr>
                <w:rFonts w:hint="eastAsia" w:ascii="宋体" w:hAnsi="宋体" w:cs="宋体"/>
                <w:kern w:val="0"/>
                <w:sz w:val="24"/>
              </w:rPr>
              <w:t>护理日常工作</w:t>
            </w: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护士长工作首页</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将护士长日常的管理工作集成在一个管理工作平台上，包括质量检查与查房、日常工作等，对存在的问题及要做的工作进行自动标识提示，可以直接进行PDCA管理。并以铃铛警示未完成工作项。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761" w:type="dxa"/>
            <w:vMerge w:val="restart"/>
            <w:vAlign w:val="center"/>
          </w:tcPr>
          <w:p>
            <w:pPr>
              <w:widowControl/>
              <w:jc w:val="center"/>
              <w:rPr>
                <w:rFonts w:ascii="宋体" w:hAnsi="宋体" w:cs="宋体"/>
                <w:kern w:val="0"/>
                <w:sz w:val="24"/>
              </w:rPr>
            </w:pPr>
            <w:r>
              <w:rPr>
                <w:rFonts w:hint="eastAsia" w:ascii="宋体" w:hAnsi="宋体" w:cs="宋体"/>
                <w:kern w:val="0"/>
                <w:sz w:val="24"/>
              </w:rPr>
              <w:t>科室日常工作</w:t>
            </w:r>
          </w:p>
        </w:tc>
        <w:tc>
          <w:tcPr>
            <w:tcW w:w="1824" w:type="dxa"/>
            <w:vAlign w:val="center"/>
          </w:tcPr>
          <w:p>
            <w:pPr>
              <w:widowControl/>
              <w:jc w:val="left"/>
              <w:rPr>
                <w:rFonts w:ascii="宋体" w:hAnsi="宋体" w:cs="宋体"/>
                <w:kern w:val="0"/>
                <w:sz w:val="24"/>
              </w:rPr>
            </w:pPr>
            <w:r>
              <w:rPr>
                <w:rFonts w:hint="eastAsia" w:ascii="宋体" w:hAnsi="宋体" w:cs="宋体"/>
                <w:kern w:val="0"/>
                <w:sz w:val="24"/>
              </w:rPr>
              <w:t>年度工作计划</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病区填报年度工作计划、护理部查看全院科室的工作计划。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月度工作计划</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病区填报月度工作计划、护理部查看全院科室的工作计划。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护理科务会</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护理科务会登记上报，记录参加科务会的人员、存在的问题、整改措施、其它问题讨论的结果。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护理隐患讨论</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护理隐患讨论记录，记录讨论时间、护理隐患内容、原困分析、整改措施、参加人数等信息。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护理疾病查房</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护理疾病查房记录，记录护理疾病名称、病区、主查老师、参加人数、及相关附件。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晨间提问</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填报各科室晨间提问情况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护患座谈会</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填报各科室护患座谈会情况，记录日期、主持人、参与人员、主要内容、意见及处理、反馈；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个案护理</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填报个案护理记录；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奖励事件登记</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登记科室奖励事件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护士长参加主任或医生查房</w:t>
            </w:r>
          </w:p>
        </w:tc>
        <w:tc>
          <w:tcPr>
            <w:tcW w:w="5788" w:type="dxa"/>
            <w:vAlign w:val="center"/>
          </w:tcPr>
          <w:p>
            <w:pPr>
              <w:widowControl/>
              <w:rPr>
                <w:rFonts w:ascii="宋体" w:hAnsi="宋体" w:cs="宋体"/>
                <w:kern w:val="0"/>
                <w:sz w:val="24"/>
              </w:rPr>
            </w:pPr>
            <w:r>
              <w:rPr>
                <w:rFonts w:hint="eastAsia" w:ascii="宋体" w:hAnsi="宋体" w:cs="宋体"/>
                <w:kern w:val="0"/>
                <w:sz w:val="24"/>
              </w:rPr>
              <w:t>记录跟随科主任或者医生查房的相关内容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761" w:type="dxa"/>
            <w:vMerge w:val="continue"/>
            <w:vAlign w:val="center"/>
          </w:tcPr>
          <w:p>
            <w:pPr>
              <w:widowControl/>
              <w:jc w:val="left"/>
              <w:rPr>
                <w:rFonts w:ascii="宋体" w:hAnsi="宋体" w:cs="宋体"/>
                <w:kern w:val="0"/>
                <w:sz w:val="24"/>
              </w:rPr>
            </w:pPr>
          </w:p>
        </w:tc>
        <w:tc>
          <w:tcPr>
            <w:tcW w:w="1824" w:type="dxa"/>
            <w:vAlign w:val="center"/>
          </w:tcPr>
          <w:p>
            <w:pPr>
              <w:widowControl/>
              <w:jc w:val="left"/>
              <w:rPr>
                <w:rFonts w:ascii="宋体" w:hAnsi="宋体" w:cs="宋体"/>
                <w:kern w:val="0"/>
                <w:sz w:val="24"/>
              </w:rPr>
            </w:pPr>
            <w:r>
              <w:rPr>
                <w:rFonts w:hint="eastAsia" w:ascii="宋体" w:hAnsi="宋体" w:cs="宋体"/>
                <w:kern w:val="0"/>
                <w:sz w:val="24"/>
              </w:rPr>
              <w:t>年度工作总结</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病区填报年度工作总结，护理部查看全院科室年度工作总结。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护理年度工作计划</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护理部填写年度工作计划，全院可阅览；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月度工作重点</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护理部填写月度工作重点，全院可阅览；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护理管理大事记</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各科护士长可用于记录各类重大、特殊事件，并提供护理部查询；方便了各科及护理部做工作总结汇报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新业务/技术开展登记</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登记新业务、新技术的开展结果；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月度质量分析</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记录护理部月度质量分析讨论结果；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护理年度工作总结</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护理部填写年度工作总结，全院可阅览；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月度工作督查</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护理部督查各科室月度日常工作填报情况。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594" w:type="dxa"/>
            <w:vMerge w:val="restart"/>
            <w:vAlign w:val="center"/>
          </w:tcPr>
          <w:p>
            <w:pPr>
              <w:widowControl/>
              <w:jc w:val="center"/>
              <w:rPr>
                <w:rFonts w:ascii="宋体" w:hAnsi="宋体" w:cs="宋体"/>
                <w:kern w:val="0"/>
                <w:sz w:val="24"/>
              </w:rPr>
            </w:pPr>
            <w:r>
              <w:rPr>
                <w:rFonts w:hint="eastAsia" w:ascii="宋体" w:hAnsi="宋体" w:cs="宋体"/>
                <w:kern w:val="0"/>
                <w:sz w:val="24"/>
              </w:rPr>
              <w:t>护理不良事件</w:t>
            </w: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护理不良事件填报及整改</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针对护理隐患（未发生），护理不良事件（已发生）：给药错误、针刺伤、护理投诉、护理事故、烫伤、压力性损伤、高危压力性损伤、坠床、跌倒、药物外渗、管道滑脱等情况进行的上报、管理、整改处理；支持根据医院模版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不良事件流程定制</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根据医院管理习惯，定制不良事件管理流程；</w:t>
            </w:r>
            <w:r>
              <w:rPr>
                <w:rFonts w:hint="eastAsia" w:ascii="宋体" w:hAnsi="宋体" w:cs="宋体"/>
                <w:sz w:val="24"/>
              </w:rPr>
              <w:t>支持按科室和上报类型设置鱼骨图模板。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不良事件汇总</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统计已发生、未发生例数及占比；统计各类不良事件例数及占比，提供饼图；统计各伤害程度例数及占比；(</w:t>
            </w:r>
            <w:r>
              <w:rPr>
                <w:rFonts w:hint="eastAsia" w:ascii="宋体" w:hAnsi="宋体" w:cs="宋体"/>
                <w:sz w:val="24"/>
              </w:rPr>
              <w:t>支持线性图、柱形图、饼图多种图形分析方式)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不良事件审批</w:t>
            </w:r>
          </w:p>
        </w:tc>
        <w:tc>
          <w:tcPr>
            <w:tcW w:w="5788" w:type="dxa"/>
            <w:vAlign w:val="center"/>
          </w:tcPr>
          <w:p>
            <w:pPr>
              <w:adjustRightInd w:val="0"/>
              <w:snapToGrid w:val="0"/>
              <w:spacing w:before="78" w:after="78"/>
              <w:rPr>
                <w:rFonts w:ascii="宋体" w:hAnsi="宋体" w:cs="宋体"/>
                <w:kern w:val="0"/>
                <w:sz w:val="24"/>
              </w:rPr>
            </w:pPr>
            <w:r>
              <w:rPr>
                <w:rFonts w:hint="eastAsia" w:ascii="宋体" w:hAnsi="宋体" w:cs="宋体"/>
                <w:sz w:val="24"/>
              </w:rPr>
              <w:t>支持不同权限不同审批流程，可动态自定义流程环节进行审批。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不良事件查询</w:t>
            </w:r>
          </w:p>
        </w:tc>
        <w:tc>
          <w:tcPr>
            <w:tcW w:w="5788" w:type="dxa"/>
            <w:vAlign w:val="center"/>
          </w:tcPr>
          <w:p>
            <w:pPr>
              <w:adjustRightInd w:val="0"/>
              <w:snapToGrid w:val="0"/>
              <w:spacing w:before="78" w:after="78"/>
              <w:rPr>
                <w:rFonts w:ascii="宋体" w:hAnsi="宋体" w:cs="宋体"/>
                <w:kern w:val="0"/>
                <w:sz w:val="24"/>
              </w:rPr>
            </w:pPr>
            <w:r>
              <w:rPr>
                <w:rFonts w:hint="eastAsia" w:ascii="宋体" w:hAnsi="宋体" w:cs="宋体"/>
                <w:sz w:val="24"/>
              </w:rPr>
              <w:t>支持根据不同权限、上报类型、上报病区及处理阶段查询对应的上报类型事件。支持自定义报表单查询、上报、匿名上报、删除、打印等。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跌倒不良事件汇总报告</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完成跌倒不良事件全部关键项因子的统计分析，可帮助护理部及病区快速完成不良事件报告；支持饼图、柱状图、拆线图；支持图形3D效果；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坠床不良事件汇总报告</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完成坠床不良事件全部关键项因子的统计分析，可帮助护理部及病区快速完成不良事件报告；支持饼图、柱状图、拆线图；支持图形3D效果；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压力性损伤（院内）不良事件汇总报告</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完成压力性损伤（院内）不良事件全部关键项因子的统计分析，可帮助护理部及病区快速完成不良事件报告；支持饼图、柱状图、拆线图；支持图形3D效果；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压力性损伤（院外）不良事件汇总报告</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完成压力性损伤（院外）不良事件全部关键项因子的统计分析，可帮助护理部及病区快速完成不良事件报告；支持饼图、柱状图、拆线图；支持图形3D效果；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管道滑脱不良事件汇总报告</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完成管道滑脱不良事件全部关键项因子的统计分析，可帮助护理部及病区快速完成不良事件报告；支持饼图、柱状图、拆线图；支持图形3D效果；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给药错误不良事件汇总报告</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完成给药错误不良事件全部关键项因子的统计分析，可帮助护理部及病区快速完成不良事件报告；支持饼图、柱状图、拆线图；支持图形3D效果；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针刺伤不良事件汇总报告</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完成针刺伤不良事件全部关键项因子的统计分析，可帮助护理部及病区快速完成不良事件报告；支持饼图、柱状图、拆线图；支持图形3D效果；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烫伤不良事件汇总报告</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完成烫伤不良事件全部关键项因子的统计分析，可帮助护理部及病区快速完成不良事件报告；支持饼图、柱状图、拆线图；支持图形3D效果；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护理不良事件分类汇总表</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汇总一段时间内各类不良事件发生记录；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不良事件发生趋势</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1.按月度汇总各类不良事件的发生次数；2.可全院或分科统计；3.提供趋势分析图；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不良事件职称分布</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1.按不良事件当事人职称统计一段时间的发生次数；2.可全院或分科统计；3.可分不良事件类型统计；4.提供饼状比例图；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不良事件年资分布</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1.按不良事件当事人年资统计一段时间的发生次数；2.可全院或分科统计；3.可分不良事件类型统计；4.提供饼状比例图；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不良事件同期对比</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1.按年度汇总各类不良事件的发生次数；2.可全院或分科统计；3.可分不良事件类型统计；4.提供柱状图；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压力性损伤汇总表</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1.汇总一段时间内的压力性损伤不良事件发生记录，显示关键列数据；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给药错误事件汇总</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1.汇总一段时间内的给药错误不良事件发生记录，显示关键列数据；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跌倒、坠床事件汇总</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1.汇总一段时间内的跌倒、坠床事件发生记录，显示关键列数据；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管路滑脱事件汇总</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1.汇总一段时间内的跌倒、坠床事件发生记录，显示关键列数据；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4" w:type="dxa"/>
            <w:vMerge w:val="restart"/>
            <w:vAlign w:val="center"/>
          </w:tcPr>
          <w:p>
            <w:pPr>
              <w:widowControl/>
              <w:jc w:val="left"/>
              <w:rPr>
                <w:rFonts w:ascii="宋体" w:hAnsi="宋体" w:cs="宋体"/>
                <w:kern w:val="0"/>
                <w:sz w:val="24"/>
              </w:rPr>
            </w:pPr>
            <w:r>
              <w:rPr>
                <w:rFonts w:hint="eastAsia" w:ascii="宋体" w:hAnsi="宋体" w:cs="宋体"/>
                <w:sz w:val="24"/>
              </w:rPr>
              <w:t>满意度管理</w:t>
            </w:r>
          </w:p>
        </w:tc>
        <w:tc>
          <w:tcPr>
            <w:tcW w:w="8373" w:type="dxa"/>
            <w:gridSpan w:val="3"/>
            <w:vAlign w:val="center"/>
          </w:tcPr>
          <w:p>
            <w:pPr>
              <w:adjustRightInd w:val="0"/>
              <w:snapToGrid w:val="0"/>
              <w:spacing w:before="78" w:after="78"/>
              <w:rPr>
                <w:rFonts w:ascii="宋体" w:hAnsi="宋体" w:cs="宋体"/>
                <w:kern w:val="0"/>
                <w:sz w:val="24"/>
              </w:rPr>
            </w:pPr>
            <w:r>
              <w:rPr>
                <w:rFonts w:hint="eastAsia" w:ascii="宋体" w:hAnsi="宋体" w:cs="宋体"/>
                <w:sz w:val="24"/>
              </w:rPr>
              <w:t>支持满意度模板的设置、录入。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4" w:type="dxa"/>
            <w:vMerge w:val="continue"/>
            <w:vAlign w:val="center"/>
          </w:tcPr>
          <w:p>
            <w:pPr>
              <w:widowControl/>
              <w:jc w:val="left"/>
              <w:rPr>
                <w:rFonts w:ascii="宋体" w:hAnsi="宋体" w:cs="宋体"/>
                <w:kern w:val="0"/>
                <w:sz w:val="24"/>
              </w:rPr>
            </w:pPr>
          </w:p>
        </w:tc>
        <w:tc>
          <w:tcPr>
            <w:tcW w:w="8373" w:type="dxa"/>
            <w:gridSpan w:val="3"/>
            <w:vAlign w:val="center"/>
          </w:tcPr>
          <w:p>
            <w:pPr>
              <w:adjustRightInd w:val="0"/>
              <w:snapToGrid w:val="0"/>
              <w:spacing w:before="78" w:after="78"/>
              <w:rPr>
                <w:rFonts w:ascii="宋体" w:hAnsi="宋体" w:cs="宋体"/>
                <w:kern w:val="0"/>
                <w:sz w:val="24"/>
              </w:rPr>
            </w:pPr>
            <w:r>
              <w:rPr>
                <w:rFonts w:hint="eastAsia" w:ascii="宋体" w:hAnsi="宋体" w:cs="宋体"/>
                <w:sz w:val="24"/>
              </w:rPr>
              <w:t>支持为各个科室分配住院满意度调查模版；添加调查任务，设置调查时间，调查人员，调查科室，调查模板，调查份数。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4" w:type="dxa"/>
            <w:vMerge w:val="continue"/>
            <w:vAlign w:val="center"/>
          </w:tcPr>
          <w:p>
            <w:pPr>
              <w:widowControl/>
              <w:jc w:val="left"/>
              <w:rPr>
                <w:rFonts w:ascii="宋体" w:hAnsi="宋体" w:cs="宋体"/>
                <w:kern w:val="0"/>
                <w:sz w:val="24"/>
              </w:rPr>
            </w:pPr>
          </w:p>
        </w:tc>
        <w:tc>
          <w:tcPr>
            <w:tcW w:w="8373" w:type="dxa"/>
            <w:gridSpan w:val="3"/>
            <w:vAlign w:val="center"/>
          </w:tcPr>
          <w:p>
            <w:pPr>
              <w:adjustRightInd w:val="0"/>
              <w:snapToGrid w:val="0"/>
              <w:spacing w:before="78" w:after="78"/>
              <w:rPr>
                <w:rFonts w:ascii="宋体" w:hAnsi="宋体" w:cs="宋体"/>
                <w:kern w:val="0"/>
                <w:sz w:val="24"/>
              </w:rPr>
            </w:pPr>
            <w:r>
              <w:rPr>
                <w:rFonts w:hint="eastAsia" w:ascii="宋体" w:hAnsi="宋体" w:cs="宋体"/>
                <w:sz w:val="24"/>
              </w:rPr>
              <w:t>支持住院满意度调查：支持时间科室查询待检查任务、已调查记录，支持平板电脑进行检查。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4" w:type="dxa"/>
            <w:vMerge w:val="continue"/>
            <w:vAlign w:val="center"/>
          </w:tcPr>
          <w:p>
            <w:pPr>
              <w:widowControl/>
              <w:jc w:val="left"/>
              <w:rPr>
                <w:rFonts w:ascii="宋体" w:hAnsi="宋体" w:cs="宋体"/>
                <w:kern w:val="0"/>
                <w:sz w:val="24"/>
              </w:rPr>
            </w:pPr>
          </w:p>
        </w:tc>
        <w:tc>
          <w:tcPr>
            <w:tcW w:w="8373" w:type="dxa"/>
            <w:gridSpan w:val="3"/>
            <w:vAlign w:val="center"/>
          </w:tcPr>
          <w:p>
            <w:pPr>
              <w:adjustRightInd w:val="0"/>
              <w:snapToGrid w:val="0"/>
              <w:spacing w:before="78" w:after="78"/>
              <w:rPr>
                <w:rFonts w:ascii="宋体" w:hAnsi="宋体" w:cs="宋体"/>
                <w:sz w:val="24"/>
              </w:rPr>
            </w:pPr>
            <w:r>
              <w:rPr>
                <w:rFonts w:hint="eastAsia" w:ascii="宋体" w:hAnsi="宋体" w:cs="宋体"/>
                <w:sz w:val="24"/>
              </w:rPr>
              <w:t>支持对住院满意度的统计：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4" w:type="dxa"/>
            <w:vMerge w:val="continue"/>
            <w:vAlign w:val="center"/>
          </w:tcPr>
          <w:p>
            <w:pPr>
              <w:widowControl/>
              <w:jc w:val="left"/>
              <w:rPr>
                <w:rFonts w:ascii="宋体" w:hAnsi="宋体" w:cs="宋体"/>
                <w:kern w:val="0"/>
                <w:sz w:val="24"/>
              </w:rPr>
            </w:pPr>
          </w:p>
        </w:tc>
        <w:tc>
          <w:tcPr>
            <w:tcW w:w="8373" w:type="dxa"/>
            <w:gridSpan w:val="3"/>
            <w:vAlign w:val="center"/>
          </w:tcPr>
          <w:p>
            <w:pPr>
              <w:spacing w:before="78" w:after="78"/>
              <w:rPr>
                <w:rFonts w:ascii="宋体" w:hAnsi="宋体" w:cs="宋体"/>
                <w:sz w:val="24"/>
              </w:rPr>
            </w:pPr>
            <w:r>
              <w:rPr>
                <w:rFonts w:hint="eastAsia" w:ascii="宋体" w:hAnsi="宋体" w:cs="宋体"/>
                <w:sz w:val="24"/>
              </w:rPr>
              <w:t>支持时间段内检查模板各个科室得分排列；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4" w:type="dxa"/>
            <w:vMerge w:val="continue"/>
            <w:vAlign w:val="center"/>
          </w:tcPr>
          <w:p>
            <w:pPr>
              <w:widowControl/>
              <w:jc w:val="left"/>
              <w:rPr>
                <w:rFonts w:ascii="宋体" w:hAnsi="宋体" w:cs="宋体"/>
                <w:kern w:val="0"/>
                <w:sz w:val="24"/>
              </w:rPr>
            </w:pPr>
          </w:p>
        </w:tc>
        <w:tc>
          <w:tcPr>
            <w:tcW w:w="8373" w:type="dxa"/>
            <w:gridSpan w:val="3"/>
            <w:vAlign w:val="center"/>
          </w:tcPr>
          <w:p>
            <w:pPr>
              <w:spacing w:before="78" w:after="78"/>
              <w:rPr>
                <w:rFonts w:ascii="宋体" w:hAnsi="宋体" w:cs="宋体"/>
                <w:sz w:val="24"/>
              </w:rPr>
            </w:pPr>
            <w:r>
              <w:rPr>
                <w:rFonts w:hint="eastAsia" w:ascii="宋体" w:hAnsi="宋体" w:cs="宋体"/>
                <w:sz w:val="24"/>
              </w:rPr>
              <w:t>支持时间段内检查模板各检查条目得分排列；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4" w:type="dxa"/>
            <w:vMerge w:val="continue"/>
            <w:vAlign w:val="center"/>
          </w:tcPr>
          <w:p>
            <w:pPr>
              <w:widowControl/>
              <w:jc w:val="left"/>
              <w:rPr>
                <w:rFonts w:ascii="宋体" w:hAnsi="宋体" w:cs="宋体"/>
                <w:kern w:val="0"/>
                <w:sz w:val="24"/>
              </w:rPr>
            </w:pPr>
          </w:p>
        </w:tc>
        <w:tc>
          <w:tcPr>
            <w:tcW w:w="8373" w:type="dxa"/>
            <w:gridSpan w:val="3"/>
            <w:vAlign w:val="center"/>
          </w:tcPr>
          <w:p>
            <w:pPr>
              <w:spacing w:before="78" w:after="78"/>
              <w:rPr>
                <w:rFonts w:ascii="宋体" w:hAnsi="宋体" w:cs="宋体"/>
                <w:sz w:val="24"/>
              </w:rPr>
            </w:pPr>
            <w:r>
              <w:rPr>
                <w:rFonts w:hint="eastAsia" w:ascii="宋体" w:hAnsi="宋体" w:cs="宋体"/>
                <w:sz w:val="24"/>
              </w:rPr>
              <w:t>支持查询时间段内检查模板的不合格科室；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4" w:type="dxa"/>
            <w:vMerge w:val="continue"/>
            <w:vAlign w:val="center"/>
          </w:tcPr>
          <w:p>
            <w:pPr>
              <w:widowControl/>
              <w:jc w:val="left"/>
              <w:rPr>
                <w:rFonts w:ascii="宋体" w:hAnsi="宋体" w:cs="宋体"/>
                <w:kern w:val="0"/>
                <w:sz w:val="24"/>
              </w:rPr>
            </w:pPr>
          </w:p>
        </w:tc>
        <w:tc>
          <w:tcPr>
            <w:tcW w:w="8373" w:type="dxa"/>
            <w:gridSpan w:val="3"/>
            <w:vAlign w:val="center"/>
          </w:tcPr>
          <w:p>
            <w:pPr>
              <w:adjustRightInd w:val="0"/>
              <w:snapToGrid w:val="0"/>
              <w:spacing w:before="78" w:after="78"/>
              <w:rPr>
                <w:rFonts w:ascii="宋体" w:hAnsi="宋体" w:cs="宋体"/>
                <w:kern w:val="0"/>
                <w:sz w:val="24"/>
              </w:rPr>
            </w:pPr>
            <w:r>
              <w:rPr>
                <w:rFonts w:hint="eastAsia" w:ascii="宋体" w:hAnsi="宋体" w:cs="宋体"/>
                <w:sz w:val="24"/>
              </w:rPr>
              <w:t>支持查询时间段内检查模板各科室柱形图、折线图、分布图、数据表得分统计分析。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4" w:type="dxa"/>
            <w:vMerge w:val="continue"/>
            <w:vAlign w:val="center"/>
          </w:tcPr>
          <w:p>
            <w:pPr>
              <w:widowControl/>
              <w:jc w:val="left"/>
              <w:rPr>
                <w:rFonts w:ascii="宋体" w:hAnsi="宋体" w:cs="宋体"/>
                <w:kern w:val="0"/>
                <w:sz w:val="24"/>
              </w:rPr>
            </w:pPr>
          </w:p>
        </w:tc>
        <w:tc>
          <w:tcPr>
            <w:tcW w:w="8373" w:type="dxa"/>
            <w:gridSpan w:val="3"/>
            <w:vAlign w:val="center"/>
          </w:tcPr>
          <w:p>
            <w:pPr>
              <w:adjustRightInd w:val="0"/>
              <w:snapToGrid w:val="0"/>
              <w:spacing w:before="78" w:after="78"/>
              <w:rPr>
                <w:rFonts w:ascii="宋体" w:hAnsi="宋体" w:cs="宋体"/>
                <w:kern w:val="0"/>
                <w:sz w:val="24"/>
              </w:rPr>
            </w:pPr>
            <w:r>
              <w:rPr>
                <w:rFonts w:hint="eastAsia" w:ascii="宋体" w:hAnsi="宋体" w:cs="宋体"/>
                <w:sz w:val="24"/>
              </w:rPr>
              <w:t>支持护士长满意度调查：设置本年度参与护士长满意度调查的护士长，由护士填写检查记录，对护士长进行评分，汇总年度内护士长的调查记录，支持调查记录Word，Pdf，Excel导出。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restart"/>
            <w:vAlign w:val="center"/>
          </w:tcPr>
          <w:p>
            <w:pPr>
              <w:widowControl/>
              <w:jc w:val="center"/>
              <w:rPr>
                <w:rFonts w:ascii="宋体" w:hAnsi="宋体" w:cs="宋体"/>
                <w:kern w:val="0"/>
                <w:sz w:val="24"/>
              </w:rPr>
            </w:pPr>
            <w:r>
              <w:rPr>
                <w:rFonts w:hint="eastAsia" w:ascii="宋体" w:hAnsi="宋体" w:cs="宋体"/>
                <w:kern w:val="0"/>
                <w:sz w:val="24"/>
              </w:rPr>
              <w:t>提醒系统</w:t>
            </w: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执业证书到期提醒</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提醒个人，执业证书即将到期；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质量检查问题提醒</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提醒护士长新的质量检查问题，以便及时整改；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restart"/>
            <w:vAlign w:val="center"/>
          </w:tcPr>
          <w:p>
            <w:pPr>
              <w:widowControl/>
              <w:jc w:val="center"/>
              <w:rPr>
                <w:rFonts w:ascii="宋体" w:hAnsi="宋体" w:cs="宋体"/>
                <w:kern w:val="0"/>
                <w:sz w:val="24"/>
              </w:rPr>
            </w:pPr>
            <w:r>
              <w:rPr>
                <w:rFonts w:hint="eastAsia" w:ascii="宋体" w:hAnsi="宋体" w:cs="宋体"/>
                <w:kern w:val="0"/>
                <w:sz w:val="24"/>
              </w:rPr>
              <w:t>基础设置</w:t>
            </w: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公用代码</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维护系统的公共字典；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层级职称职务学历代码</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设置N1、N2、N3等层级代码；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护理单元设置</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即排班组设置，按医院管理习惯，划分相应的排班组；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用户维护</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管理系统操作用户并可重置用户密码；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权限维护</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维护用户及用户组权限；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数据权限设置</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对数据进行权限控制，以符合实际使用场景；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参数设置</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设置初始密码等；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Merge w:val="restart"/>
            <w:vAlign w:val="center"/>
          </w:tcPr>
          <w:p>
            <w:pPr>
              <w:widowControl/>
              <w:jc w:val="left"/>
              <w:rPr>
                <w:rFonts w:ascii="宋体" w:hAnsi="宋体" w:cs="宋体"/>
                <w:kern w:val="0"/>
                <w:sz w:val="24"/>
              </w:rPr>
            </w:pPr>
            <w:r>
              <w:rPr>
                <w:rFonts w:hint="eastAsia" w:ascii="宋体" w:hAnsi="宋体" w:cs="宋体"/>
                <w:kern w:val="0"/>
                <w:sz w:val="24"/>
              </w:rPr>
              <w:t>系统配置</w:t>
            </w:r>
          </w:p>
        </w:tc>
        <w:tc>
          <w:tcPr>
            <w:tcW w:w="5788" w:type="dxa"/>
            <w:vAlign w:val="center"/>
          </w:tcPr>
          <w:p>
            <w:pPr>
              <w:widowControl/>
              <w:jc w:val="left"/>
              <w:rPr>
                <w:rFonts w:ascii="宋体" w:hAnsi="宋体" w:cs="宋体"/>
                <w:sz w:val="24"/>
              </w:rPr>
            </w:pPr>
            <w:r>
              <w:rPr>
                <w:rFonts w:hint="eastAsia" w:ascii="宋体" w:hAnsi="宋体" w:cs="宋体"/>
                <w:sz w:val="24"/>
              </w:rPr>
              <w:t>管理系统菜单，包括新增、修改、删除等功能。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Merge w:val="continue"/>
            <w:vAlign w:val="center"/>
          </w:tcPr>
          <w:p>
            <w:pPr>
              <w:widowControl/>
              <w:jc w:val="left"/>
              <w:rPr>
                <w:rFonts w:ascii="宋体" w:hAnsi="宋体" w:cs="宋体"/>
                <w:kern w:val="0"/>
                <w:sz w:val="24"/>
              </w:rPr>
            </w:pPr>
          </w:p>
        </w:tc>
        <w:tc>
          <w:tcPr>
            <w:tcW w:w="5788" w:type="dxa"/>
            <w:vAlign w:val="center"/>
          </w:tcPr>
          <w:p>
            <w:pPr>
              <w:widowControl/>
              <w:jc w:val="left"/>
              <w:rPr>
                <w:rFonts w:ascii="宋体" w:hAnsi="宋体" w:cs="宋体"/>
                <w:sz w:val="24"/>
              </w:rPr>
            </w:pPr>
            <w:r>
              <w:rPr>
                <w:rFonts w:hint="eastAsia" w:ascii="宋体" w:hAnsi="宋体" w:cs="宋体"/>
                <w:sz w:val="24"/>
              </w:rPr>
              <w:t>管理系统科室层级关系，由HIS接口同步科室数据，在系统中维护科室层级。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Merge w:val="continue"/>
            <w:vAlign w:val="center"/>
          </w:tcPr>
          <w:p>
            <w:pPr>
              <w:widowControl/>
              <w:jc w:val="left"/>
              <w:rPr>
                <w:rFonts w:ascii="宋体" w:hAnsi="宋体" w:cs="宋体"/>
                <w:kern w:val="0"/>
                <w:sz w:val="24"/>
              </w:rPr>
            </w:pPr>
          </w:p>
        </w:tc>
        <w:tc>
          <w:tcPr>
            <w:tcW w:w="5788" w:type="dxa"/>
            <w:vAlign w:val="center"/>
          </w:tcPr>
          <w:p>
            <w:pPr>
              <w:widowControl/>
              <w:jc w:val="left"/>
              <w:rPr>
                <w:rFonts w:ascii="宋体" w:hAnsi="宋体" w:cs="宋体"/>
                <w:sz w:val="24"/>
              </w:rPr>
            </w:pPr>
            <w:r>
              <w:rPr>
                <w:rFonts w:hint="eastAsia" w:ascii="宋体" w:hAnsi="宋体" w:cs="宋体"/>
                <w:sz w:val="24"/>
              </w:rPr>
              <w:t>管理系统中角色的新增、修改和删除，配置各个角色的菜单权限。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Merge w:val="continue"/>
            <w:vAlign w:val="center"/>
          </w:tcPr>
          <w:p>
            <w:pPr>
              <w:widowControl/>
              <w:jc w:val="left"/>
              <w:rPr>
                <w:rFonts w:ascii="宋体" w:hAnsi="宋体" w:cs="宋体"/>
                <w:kern w:val="0"/>
                <w:sz w:val="24"/>
              </w:rPr>
            </w:pPr>
          </w:p>
        </w:tc>
        <w:tc>
          <w:tcPr>
            <w:tcW w:w="5788" w:type="dxa"/>
            <w:vAlign w:val="center"/>
          </w:tcPr>
          <w:p>
            <w:pPr>
              <w:widowControl/>
              <w:jc w:val="left"/>
              <w:rPr>
                <w:rFonts w:ascii="宋体" w:hAnsi="宋体" w:cs="宋体"/>
                <w:sz w:val="24"/>
              </w:rPr>
            </w:pPr>
            <w:r>
              <w:rPr>
                <w:rFonts w:hint="eastAsia" w:ascii="宋体" w:hAnsi="宋体" w:cs="宋体"/>
                <w:sz w:val="24"/>
              </w:rPr>
              <w:t>管理系统中用户的同步、新增、修改、删除，配置各个用户的角色权限和科室权限。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Merge w:val="continue"/>
            <w:vAlign w:val="center"/>
          </w:tcPr>
          <w:p>
            <w:pPr>
              <w:widowControl/>
              <w:jc w:val="left"/>
              <w:rPr>
                <w:rFonts w:ascii="宋体" w:hAnsi="宋体" w:cs="宋体"/>
                <w:kern w:val="0"/>
                <w:sz w:val="24"/>
              </w:rPr>
            </w:pPr>
          </w:p>
        </w:tc>
        <w:tc>
          <w:tcPr>
            <w:tcW w:w="5788" w:type="dxa"/>
            <w:vAlign w:val="center"/>
          </w:tcPr>
          <w:p>
            <w:pPr>
              <w:widowControl/>
              <w:jc w:val="left"/>
              <w:rPr>
                <w:rFonts w:ascii="宋体" w:hAnsi="宋体" w:cs="宋体"/>
                <w:sz w:val="24"/>
              </w:rPr>
            </w:pPr>
            <w:r>
              <w:rPr>
                <w:rFonts w:hint="eastAsia" w:ascii="宋体" w:hAnsi="宋体" w:cs="宋体"/>
                <w:sz w:val="24"/>
              </w:rPr>
              <w:t>管理系统中参与各项检查的科室权限。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Merge w:val="continue"/>
            <w:vAlign w:val="center"/>
          </w:tcPr>
          <w:p>
            <w:pPr>
              <w:widowControl/>
              <w:jc w:val="left"/>
              <w:rPr>
                <w:rFonts w:ascii="宋体" w:hAnsi="宋体" w:cs="宋体"/>
                <w:kern w:val="0"/>
                <w:sz w:val="24"/>
              </w:rPr>
            </w:pPr>
          </w:p>
        </w:tc>
        <w:tc>
          <w:tcPr>
            <w:tcW w:w="5788" w:type="dxa"/>
            <w:vAlign w:val="center"/>
          </w:tcPr>
          <w:p>
            <w:pPr>
              <w:widowControl/>
              <w:jc w:val="left"/>
              <w:rPr>
                <w:rFonts w:ascii="宋体" w:hAnsi="宋体" w:cs="宋体"/>
                <w:sz w:val="24"/>
              </w:rPr>
            </w:pPr>
            <w:r>
              <w:rPr>
                <w:rFonts w:hint="eastAsia" w:ascii="宋体" w:hAnsi="宋体" w:cs="宋体"/>
                <w:sz w:val="24"/>
              </w:rPr>
              <w:t>管理系统中用户组的新增、修改和删除，配置各个用户组中的用户或角色。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Merge w:val="continue"/>
            <w:vAlign w:val="center"/>
          </w:tcPr>
          <w:p>
            <w:pPr>
              <w:widowControl/>
              <w:jc w:val="left"/>
              <w:rPr>
                <w:rFonts w:ascii="宋体" w:hAnsi="宋体" w:cs="宋体"/>
                <w:kern w:val="0"/>
                <w:sz w:val="24"/>
              </w:rPr>
            </w:pPr>
          </w:p>
        </w:tc>
        <w:tc>
          <w:tcPr>
            <w:tcW w:w="5788" w:type="dxa"/>
            <w:vAlign w:val="center"/>
          </w:tcPr>
          <w:p>
            <w:pPr>
              <w:widowControl/>
              <w:jc w:val="left"/>
              <w:rPr>
                <w:rFonts w:ascii="宋体" w:hAnsi="宋体" w:cs="宋体"/>
                <w:sz w:val="24"/>
              </w:rPr>
            </w:pPr>
            <w:r>
              <w:rPr>
                <w:rFonts w:hint="eastAsia" w:ascii="宋体" w:hAnsi="宋体" w:cs="宋体"/>
                <w:sz w:val="24"/>
              </w:rPr>
              <w:t>管理系统中流程的新增、修改，配置各个流程的环节以及每个环节的操作用户组。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Merge w:val="continue"/>
            <w:vAlign w:val="center"/>
          </w:tcPr>
          <w:p>
            <w:pPr>
              <w:widowControl/>
              <w:jc w:val="left"/>
              <w:rPr>
                <w:rFonts w:ascii="宋体" w:hAnsi="宋体" w:cs="宋体"/>
                <w:kern w:val="0"/>
                <w:sz w:val="24"/>
              </w:rPr>
            </w:pPr>
          </w:p>
        </w:tc>
        <w:tc>
          <w:tcPr>
            <w:tcW w:w="5788" w:type="dxa"/>
            <w:vAlign w:val="center"/>
          </w:tcPr>
          <w:p>
            <w:pPr>
              <w:widowControl/>
              <w:jc w:val="left"/>
              <w:rPr>
                <w:rFonts w:ascii="宋体" w:hAnsi="宋体" w:cs="宋体"/>
                <w:sz w:val="24"/>
              </w:rPr>
            </w:pPr>
            <w:r>
              <w:rPr>
                <w:rFonts w:hint="eastAsia" w:ascii="宋体" w:hAnsi="宋体" w:cs="宋体"/>
                <w:sz w:val="24"/>
              </w:rPr>
              <w:t>管理系统中所有表单模板的新增和删除，配置各个模板的HTML文件和打印报表文件。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Merge w:val="continue"/>
            <w:vAlign w:val="center"/>
          </w:tcPr>
          <w:p>
            <w:pPr>
              <w:widowControl/>
              <w:jc w:val="left"/>
              <w:rPr>
                <w:rFonts w:ascii="宋体" w:hAnsi="宋体" w:cs="宋体"/>
                <w:kern w:val="0"/>
                <w:sz w:val="24"/>
              </w:rPr>
            </w:pPr>
          </w:p>
        </w:tc>
        <w:tc>
          <w:tcPr>
            <w:tcW w:w="5788" w:type="dxa"/>
            <w:vAlign w:val="center"/>
          </w:tcPr>
          <w:p>
            <w:pPr>
              <w:widowControl/>
              <w:jc w:val="left"/>
              <w:rPr>
                <w:rFonts w:ascii="宋体" w:hAnsi="宋体" w:cs="宋体"/>
                <w:sz w:val="24"/>
              </w:rPr>
            </w:pPr>
            <w:r>
              <w:rPr>
                <w:rFonts w:hint="eastAsia" w:ascii="宋体" w:hAnsi="宋体" w:cs="宋体"/>
                <w:sz w:val="24"/>
              </w:rPr>
              <w:t>管理系统中所有的字典数据，配置各个字典的明细内容。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Merge w:val="continue"/>
            <w:vAlign w:val="center"/>
          </w:tcPr>
          <w:p>
            <w:pPr>
              <w:widowControl/>
              <w:jc w:val="left"/>
              <w:rPr>
                <w:rFonts w:ascii="宋体" w:hAnsi="宋体" w:cs="宋体"/>
                <w:kern w:val="0"/>
                <w:sz w:val="24"/>
              </w:rPr>
            </w:pPr>
          </w:p>
        </w:tc>
        <w:tc>
          <w:tcPr>
            <w:tcW w:w="5788" w:type="dxa"/>
            <w:vAlign w:val="center"/>
          </w:tcPr>
          <w:p>
            <w:pPr>
              <w:widowControl/>
              <w:jc w:val="left"/>
              <w:rPr>
                <w:rFonts w:ascii="宋体" w:hAnsi="宋体" w:cs="宋体"/>
                <w:sz w:val="24"/>
              </w:rPr>
            </w:pPr>
            <w:r>
              <w:rPr>
                <w:rFonts w:hint="eastAsia" w:ascii="宋体" w:hAnsi="宋体" w:cs="宋体"/>
                <w:sz w:val="24"/>
              </w:rPr>
              <w:t>支持对常用批复模板进行维护，支持根据质量检查原因分析与追踪所录模板自动导入批复意见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Merge w:val="continue"/>
            <w:vAlign w:val="center"/>
          </w:tcPr>
          <w:p>
            <w:pPr>
              <w:widowControl/>
              <w:jc w:val="left"/>
              <w:rPr>
                <w:rFonts w:ascii="宋体" w:hAnsi="宋体" w:cs="宋体"/>
                <w:kern w:val="0"/>
                <w:sz w:val="24"/>
              </w:rPr>
            </w:pPr>
          </w:p>
        </w:tc>
        <w:tc>
          <w:tcPr>
            <w:tcW w:w="5788" w:type="dxa"/>
            <w:vAlign w:val="center"/>
          </w:tcPr>
          <w:p>
            <w:pPr>
              <w:widowControl/>
              <w:jc w:val="left"/>
              <w:rPr>
                <w:rFonts w:ascii="宋体" w:hAnsi="宋体" w:cs="宋体"/>
                <w:sz w:val="24"/>
              </w:rPr>
            </w:pPr>
            <w:r>
              <w:rPr>
                <w:rFonts w:hint="eastAsia" w:ascii="宋体" w:hAnsi="宋体" w:cs="宋体"/>
                <w:sz w:val="24"/>
              </w:rPr>
              <w:t>管理系统中表单类型的新增和删除，配置各个表单类型所使用的模板和流程。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Merge w:val="continue"/>
            <w:vAlign w:val="center"/>
          </w:tcPr>
          <w:p>
            <w:pPr>
              <w:widowControl/>
              <w:jc w:val="left"/>
              <w:rPr>
                <w:rFonts w:ascii="宋体" w:hAnsi="宋体" w:cs="宋体"/>
                <w:kern w:val="0"/>
                <w:sz w:val="24"/>
              </w:rPr>
            </w:pPr>
          </w:p>
        </w:tc>
        <w:tc>
          <w:tcPr>
            <w:tcW w:w="5788" w:type="dxa"/>
            <w:vAlign w:val="center"/>
          </w:tcPr>
          <w:p>
            <w:pPr>
              <w:widowControl/>
              <w:jc w:val="left"/>
              <w:rPr>
                <w:rFonts w:ascii="宋体" w:hAnsi="宋体" w:cs="宋体"/>
                <w:sz w:val="24"/>
              </w:rPr>
            </w:pPr>
            <w:r>
              <w:rPr>
                <w:rFonts w:hint="eastAsia" w:ascii="宋体" w:hAnsi="宋体" w:cs="宋体"/>
                <w:sz w:val="24"/>
              </w:rPr>
              <w:t>管理系统中固定的参数数据。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94" w:type="dxa"/>
            <w:vMerge w:val="restart"/>
            <w:vAlign w:val="center"/>
          </w:tcPr>
          <w:p>
            <w:pPr>
              <w:widowControl/>
              <w:jc w:val="center"/>
              <w:rPr>
                <w:rFonts w:ascii="宋体" w:hAnsi="宋体" w:cs="宋体"/>
                <w:kern w:val="0"/>
                <w:sz w:val="24"/>
              </w:rPr>
            </w:pPr>
            <w:r>
              <w:rPr>
                <w:rFonts w:hint="eastAsia" w:ascii="宋体" w:hAnsi="宋体" w:cs="宋体"/>
                <w:kern w:val="0"/>
                <w:sz w:val="24"/>
              </w:rPr>
              <w:t>接口</w:t>
            </w: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护理人员基本信息从人事系统同步</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护理人员信息，从人事系统中同步过来；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94" w:type="dxa"/>
            <w:vMerge w:val="continue"/>
            <w:vAlign w:val="center"/>
          </w:tcPr>
          <w:p>
            <w:pPr>
              <w:widowControl/>
              <w:jc w:val="left"/>
              <w:rPr>
                <w:rFonts w:ascii="宋体" w:hAnsi="宋体" w:cs="宋体"/>
                <w:kern w:val="0"/>
                <w:sz w:val="24"/>
              </w:rPr>
            </w:pPr>
          </w:p>
        </w:tc>
        <w:tc>
          <w:tcPr>
            <w:tcW w:w="2585" w:type="dxa"/>
            <w:gridSpan w:val="2"/>
            <w:vAlign w:val="center"/>
          </w:tcPr>
          <w:p>
            <w:pPr>
              <w:widowControl/>
              <w:jc w:val="left"/>
              <w:rPr>
                <w:rFonts w:ascii="宋体" w:hAnsi="宋体" w:cs="宋体"/>
                <w:kern w:val="0"/>
                <w:sz w:val="24"/>
              </w:rPr>
            </w:pPr>
            <w:r>
              <w:rPr>
                <w:rFonts w:hint="eastAsia" w:ascii="宋体" w:hAnsi="宋体" w:cs="宋体"/>
                <w:kern w:val="0"/>
                <w:sz w:val="24"/>
              </w:rPr>
              <w:t>不良事件自动获取患者信息</w:t>
            </w:r>
          </w:p>
        </w:tc>
        <w:tc>
          <w:tcPr>
            <w:tcW w:w="5788" w:type="dxa"/>
            <w:vAlign w:val="center"/>
          </w:tcPr>
          <w:p>
            <w:pPr>
              <w:widowControl/>
              <w:jc w:val="left"/>
              <w:rPr>
                <w:rFonts w:ascii="宋体" w:hAnsi="宋体" w:cs="宋体"/>
                <w:kern w:val="0"/>
                <w:sz w:val="24"/>
              </w:rPr>
            </w:pPr>
            <w:r>
              <w:rPr>
                <w:rFonts w:hint="eastAsia" w:ascii="宋体" w:hAnsi="宋体" w:cs="宋体"/>
                <w:kern w:val="0"/>
                <w:sz w:val="24"/>
              </w:rPr>
              <w:t>不良事件中，通过住院号，自动获取患者基本信息</w:t>
            </w:r>
          </w:p>
        </w:tc>
      </w:tr>
    </w:tbl>
    <w:p>
      <w:pPr>
        <w:widowControl/>
        <w:jc w:val="left"/>
        <w:rPr>
          <w:rFonts w:ascii="宋体" w:hAnsi="宋体" w:cs="宋体"/>
          <w:kern w:val="0"/>
          <w:sz w:val="24"/>
        </w:rPr>
      </w:pPr>
    </w:p>
    <w:p>
      <w:pPr>
        <w:widowControl/>
        <w:jc w:val="left"/>
        <w:rPr>
          <w:rFonts w:ascii="宋体" w:hAnsi="宋体" w:cs="宋体"/>
          <w:kern w:val="0"/>
          <w:sz w:val="24"/>
        </w:rPr>
      </w:pPr>
    </w:p>
    <w:p>
      <w:pPr>
        <w:widowControl/>
        <w:rPr>
          <w:rFonts w:ascii="宋体" w:hAnsi="宋体" w:cs="宋体"/>
          <w:b/>
          <w:bCs/>
          <w:kern w:val="0"/>
          <w:sz w:val="24"/>
        </w:rPr>
      </w:pPr>
      <w:r>
        <w:rPr>
          <w:rFonts w:hint="eastAsia" w:ascii="宋体" w:hAnsi="宋体" w:cs="宋体"/>
          <w:b/>
          <w:bCs/>
          <w:kern w:val="0"/>
          <w:sz w:val="24"/>
        </w:rPr>
        <w:t>护理管理APP端（需要融入医院互联网医院医护端）</w:t>
      </w:r>
    </w:p>
    <w:tbl>
      <w:tblPr>
        <w:tblStyle w:val="47"/>
        <w:tblpPr w:leftFromText="180" w:rightFromText="180" w:vertAnchor="text" w:horzAnchor="page" w:tblpX="733"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858"/>
        <w:gridCol w:w="7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restart"/>
            <w:vAlign w:val="center"/>
          </w:tcPr>
          <w:p>
            <w:pPr>
              <w:widowControl/>
              <w:jc w:val="left"/>
              <w:rPr>
                <w:rFonts w:ascii="宋体" w:hAnsi="宋体" w:cs="宋体"/>
                <w:kern w:val="0"/>
                <w:sz w:val="24"/>
              </w:rPr>
            </w:pPr>
            <w:r>
              <w:rPr>
                <w:rFonts w:hint="eastAsia" w:ascii="宋体" w:hAnsi="宋体" w:cs="宋体"/>
                <w:kern w:val="0"/>
                <w:sz w:val="24"/>
              </w:rPr>
              <w:t>掌上护理管理APP</w:t>
            </w:r>
          </w:p>
        </w:tc>
        <w:tc>
          <w:tcPr>
            <w:tcW w:w="1858" w:type="dxa"/>
            <w:vMerge w:val="restart"/>
            <w:vAlign w:val="center"/>
          </w:tcPr>
          <w:p>
            <w:pPr>
              <w:widowControl/>
              <w:jc w:val="left"/>
              <w:rPr>
                <w:rFonts w:ascii="宋体" w:hAnsi="宋体" w:cs="宋体"/>
                <w:kern w:val="0"/>
                <w:sz w:val="24"/>
              </w:rPr>
            </w:pPr>
            <w:r>
              <w:rPr>
                <w:rFonts w:hint="eastAsia" w:ascii="宋体" w:hAnsi="宋体" w:cs="宋体"/>
                <w:kern w:val="0"/>
                <w:sz w:val="24"/>
              </w:rPr>
              <w:t>参数要求</w:t>
            </w:r>
          </w:p>
        </w:tc>
        <w:tc>
          <w:tcPr>
            <w:tcW w:w="7402" w:type="dxa"/>
            <w:vAlign w:val="center"/>
          </w:tcPr>
          <w:p>
            <w:pPr>
              <w:widowControl/>
              <w:jc w:val="left"/>
              <w:rPr>
                <w:rFonts w:ascii="宋体" w:hAnsi="宋体" w:cs="宋体"/>
                <w:kern w:val="0"/>
                <w:sz w:val="24"/>
              </w:rPr>
            </w:pPr>
            <w:r>
              <w:rPr>
                <w:rFonts w:hint="eastAsia" w:ascii="宋体" w:hAnsi="宋体" w:cs="宋体"/>
                <w:kern w:val="0"/>
                <w:sz w:val="24"/>
              </w:rPr>
              <w:t>▲总体趋势查看：实时查看全院上报事件数量变化趋势及细则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widowControl/>
              <w:jc w:val="left"/>
              <w:rPr>
                <w:rFonts w:ascii="宋体" w:hAnsi="宋体" w:cs="宋体"/>
                <w:kern w:val="0"/>
                <w:sz w:val="24"/>
              </w:rPr>
            </w:pPr>
          </w:p>
        </w:tc>
        <w:tc>
          <w:tcPr>
            <w:tcW w:w="1858" w:type="dxa"/>
            <w:vMerge w:val="continue"/>
            <w:vAlign w:val="center"/>
          </w:tcPr>
          <w:p>
            <w:pPr>
              <w:widowControl/>
              <w:jc w:val="left"/>
              <w:rPr>
                <w:rFonts w:ascii="宋体" w:hAnsi="宋体" w:cs="宋体"/>
                <w:kern w:val="0"/>
                <w:sz w:val="24"/>
              </w:rPr>
            </w:pPr>
          </w:p>
        </w:tc>
        <w:tc>
          <w:tcPr>
            <w:tcW w:w="7402" w:type="dxa"/>
            <w:vAlign w:val="center"/>
          </w:tcPr>
          <w:p>
            <w:pPr>
              <w:widowControl/>
              <w:jc w:val="left"/>
              <w:rPr>
                <w:rFonts w:ascii="宋体" w:hAnsi="宋体" w:cs="宋体"/>
                <w:kern w:val="0"/>
                <w:sz w:val="24"/>
              </w:rPr>
            </w:pPr>
            <w:r>
              <w:rPr>
                <w:rFonts w:hint="eastAsia" w:ascii="宋体" w:hAnsi="宋体" w:cs="宋体"/>
                <w:kern w:val="0"/>
                <w:sz w:val="24"/>
              </w:rPr>
              <w:t>全院上报事件分析：查看上报事件的类型、科室比例分布及总体变化趋势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2" w:type="dxa"/>
            <w:vMerge w:val="continue"/>
            <w:vAlign w:val="center"/>
          </w:tcPr>
          <w:p>
            <w:pPr>
              <w:widowControl/>
              <w:jc w:val="left"/>
              <w:rPr>
                <w:rFonts w:ascii="宋体" w:hAnsi="宋体" w:cs="宋体"/>
                <w:kern w:val="0"/>
                <w:sz w:val="24"/>
              </w:rPr>
            </w:pPr>
          </w:p>
        </w:tc>
        <w:tc>
          <w:tcPr>
            <w:tcW w:w="1858" w:type="dxa"/>
            <w:vMerge w:val="continue"/>
            <w:vAlign w:val="center"/>
          </w:tcPr>
          <w:p>
            <w:pPr>
              <w:widowControl/>
              <w:jc w:val="left"/>
              <w:rPr>
                <w:rFonts w:ascii="宋体" w:hAnsi="宋体" w:cs="宋体"/>
                <w:kern w:val="0"/>
                <w:sz w:val="24"/>
              </w:rPr>
            </w:pPr>
          </w:p>
        </w:tc>
        <w:tc>
          <w:tcPr>
            <w:tcW w:w="7402" w:type="dxa"/>
            <w:vAlign w:val="center"/>
          </w:tcPr>
          <w:p>
            <w:pPr>
              <w:widowControl/>
              <w:jc w:val="left"/>
              <w:rPr>
                <w:rFonts w:ascii="宋体" w:hAnsi="宋体" w:cs="宋体"/>
                <w:kern w:val="0"/>
                <w:sz w:val="24"/>
              </w:rPr>
            </w:pPr>
            <w:r>
              <w:rPr>
                <w:rFonts w:hint="eastAsia" w:ascii="宋体" w:hAnsi="宋体" w:cs="宋体"/>
                <w:kern w:val="0"/>
                <w:sz w:val="24"/>
              </w:rPr>
              <w:t>单个上报事件细则查看：查看单个不良事件的数量、科室分布、关键环节及变化趋势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widowControl/>
              <w:jc w:val="left"/>
              <w:rPr>
                <w:rFonts w:ascii="宋体" w:hAnsi="宋体" w:cs="宋体"/>
                <w:kern w:val="0"/>
                <w:sz w:val="24"/>
              </w:rPr>
            </w:pPr>
          </w:p>
        </w:tc>
        <w:tc>
          <w:tcPr>
            <w:tcW w:w="1858" w:type="dxa"/>
            <w:vMerge w:val="restart"/>
            <w:vAlign w:val="center"/>
          </w:tcPr>
          <w:p>
            <w:pPr>
              <w:widowControl/>
              <w:jc w:val="left"/>
              <w:rPr>
                <w:rFonts w:ascii="宋体" w:hAnsi="宋体" w:cs="宋体"/>
                <w:kern w:val="0"/>
                <w:sz w:val="24"/>
              </w:rPr>
            </w:pPr>
            <w:r>
              <w:rPr>
                <w:rFonts w:hint="eastAsia" w:ascii="宋体" w:hAnsi="宋体" w:cs="宋体"/>
                <w:kern w:val="0"/>
                <w:sz w:val="24"/>
              </w:rPr>
              <w:t>病区动态</w:t>
            </w:r>
          </w:p>
        </w:tc>
        <w:tc>
          <w:tcPr>
            <w:tcW w:w="7402" w:type="dxa"/>
            <w:vAlign w:val="center"/>
          </w:tcPr>
          <w:p>
            <w:pPr>
              <w:widowControl/>
              <w:jc w:val="left"/>
              <w:rPr>
                <w:rFonts w:ascii="宋体" w:hAnsi="宋体" w:cs="宋体"/>
                <w:kern w:val="0"/>
                <w:sz w:val="24"/>
              </w:rPr>
            </w:pPr>
            <w:r>
              <w:rPr>
                <w:rFonts w:hint="eastAsia" w:ascii="宋体" w:hAnsi="宋体" w:cs="宋体"/>
                <w:kern w:val="0"/>
                <w:sz w:val="24"/>
              </w:rPr>
              <w:t>病人数据：关于不良事件、危重病人等全院大科病区每天数据统计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widowControl/>
              <w:jc w:val="left"/>
              <w:rPr>
                <w:rFonts w:ascii="宋体" w:hAnsi="宋体" w:cs="宋体"/>
                <w:kern w:val="0"/>
                <w:sz w:val="24"/>
              </w:rPr>
            </w:pPr>
          </w:p>
        </w:tc>
        <w:tc>
          <w:tcPr>
            <w:tcW w:w="1858" w:type="dxa"/>
            <w:vMerge w:val="continue"/>
            <w:vAlign w:val="center"/>
          </w:tcPr>
          <w:p>
            <w:pPr>
              <w:widowControl/>
              <w:jc w:val="left"/>
              <w:rPr>
                <w:rFonts w:ascii="宋体" w:hAnsi="宋体" w:cs="宋体"/>
                <w:kern w:val="0"/>
                <w:sz w:val="24"/>
              </w:rPr>
            </w:pPr>
          </w:p>
        </w:tc>
        <w:tc>
          <w:tcPr>
            <w:tcW w:w="7402" w:type="dxa"/>
            <w:vAlign w:val="center"/>
          </w:tcPr>
          <w:p>
            <w:pPr>
              <w:widowControl/>
              <w:jc w:val="left"/>
              <w:rPr>
                <w:rFonts w:ascii="宋体" w:hAnsi="宋体" w:cs="宋体"/>
                <w:kern w:val="0"/>
                <w:sz w:val="24"/>
              </w:rPr>
            </w:pPr>
            <w:r>
              <w:rPr>
                <w:rFonts w:hint="eastAsia" w:ascii="宋体" w:hAnsi="宋体" w:cs="宋体"/>
                <w:kern w:val="0"/>
                <w:sz w:val="24"/>
              </w:rPr>
              <w:t>指标数据：护患比、床护比等敏感指标全院大科病区每天数据统计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widowControl/>
              <w:jc w:val="left"/>
              <w:rPr>
                <w:rFonts w:ascii="宋体" w:hAnsi="宋体" w:cs="宋体"/>
                <w:kern w:val="0"/>
                <w:sz w:val="24"/>
              </w:rPr>
            </w:pPr>
          </w:p>
        </w:tc>
        <w:tc>
          <w:tcPr>
            <w:tcW w:w="1858" w:type="dxa"/>
            <w:vMerge w:val="restart"/>
            <w:vAlign w:val="center"/>
          </w:tcPr>
          <w:p>
            <w:pPr>
              <w:widowControl/>
              <w:jc w:val="left"/>
              <w:rPr>
                <w:rFonts w:ascii="宋体" w:hAnsi="宋体" w:cs="宋体"/>
                <w:kern w:val="0"/>
                <w:sz w:val="24"/>
              </w:rPr>
            </w:pPr>
            <w:r>
              <w:rPr>
                <w:rFonts w:hint="eastAsia" w:ascii="宋体" w:hAnsi="宋体" w:cs="宋体"/>
                <w:kern w:val="0"/>
                <w:sz w:val="24"/>
              </w:rPr>
              <w:t>质量检查数据查看</w:t>
            </w:r>
          </w:p>
        </w:tc>
        <w:tc>
          <w:tcPr>
            <w:tcW w:w="7402" w:type="dxa"/>
            <w:vAlign w:val="center"/>
          </w:tcPr>
          <w:p>
            <w:pPr>
              <w:widowControl/>
              <w:jc w:val="left"/>
              <w:rPr>
                <w:rFonts w:ascii="宋体" w:hAnsi="宋体" w:cs="宋体"/>
                <w:kern w:val="0"/>
                <w:sz w:val="24"/>
              </w:rPr>
            </w:pPr>
            <w:r>
              <w:rPr>
                <w:rFonts w:hint="eastAsia" w:ascii="宋体" w:hAnsi="宋体" w:cs="宋体"/>
                <w:kern w:val="0"/>
                <w:sz w:val="24"/>
              </w:rPr>
              <w:t>▲总体趋势查看：实时查看全院质量检查的变化趋势及细则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widowControl/>
              <w:jc w:val="left"/>
              <w:rPr>
                <w:rFonts w:ascii="宋体" w:hAnsi="宋体" w:cs="宋体"/>
                <w:kern w:val="0"/>
                <w:sz w:val="24"/>
              </w:rPr>
            </w:pPr>
          </w:p>
        </w:tc>
        <w:tc>
          <w:tcPr>
            <w:tcW w:w="1858" w:type="dxa"/>
            <w:vMerge w:val="continue"/>
            <w:vAlign w:val="center"/>
          </w:tcPr>
          <w:p>
            <w:pPr>
              <w:widowControl/>
              <w:jc w:val="left"/>
              <w:rPr>
                <w:rFonts w:ascii="宋体" w:hAnsi="宋体" w:cs="宋体"/>
                <w:kern w:val="0"/>
                <w:sz w:val="24"/>
              </w:rPr>
            </w:pPr>
          </w:p>
        </w:tc>
        <w:tc>
          <w:tcPr>
            <w:tcW w:w="7402" w:type="dxa"/>
            <w:vAlign w:val="center"/>
          </w:tcPr>
          <w:p>
            <w:pPr>
              <w:widowControl/>
              <w:jc w:val="left"/>
              <w:rPr>
                <w:rFonts w:ascii="宋体" w:hAnsi="宋体" w:cs="宋体"/>
                <w:kern w:val="0"/>
                <w:sz w:val="24"/>
              </w:rPr>
            </w:pPr>
            <w:r>
              <w:rPr>
                <w:rFonts w:hint="eastAsia" w:ascii="宋体" w:hAnsi="宋体" w:cs="宋体"/>
                <w:kern w:val="0"/>
                <w:sz w:val="24"/>
              </w:rPr>
              <w:t>检查模版分析：查看各个检查模版的均分、达标率、存在问题的检查明细等数据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widowControl/>
              <w:jc w:val="left"/>
              <w:rPr>
                <w:rFonts w:ascii="宋体" w:hAnsi="宋体" w:cs="宋体"/>
                <w:kern w:val="0"/>
                <w:sz w:val="24"/>
              </w:rPr>
            </w:pPr>
          </w:p>
        </w:tc>
        <w:tc>
          <w:tcPr>
            <w:tcW w:w="1858" w:type="dxa"/>
            <w:vMerge w:val="continue"/>
            <w:vAlign w:val="center"/>
          </w:tcPr>
          <w:p>
            <w:pPr>
              <w:widowControl/>
              <w:jc w:val="left"/>
              <w:rPr>
                <w:rFonts w:ascii="宋体" w:hAnsi="宋体" w:cs="宋体"/>
                <w:kern w:val="0"/>
                <w:sz w:val="24"/>
              </w:rPr>
            </w:pPr>
          </w:p>
        </w:tc>
        <w:tc>
          <w:tcPr>
            <w:tcW w:w="7402" w:type="dxa"/>
            <w:vAlign w:val="center"/>
          </w:tcPr>
          <w:p>
            <w:pPr>
              <w:widowControl/>
              <w:jc w:val="left"/>
              <w:rPr>
                <w:rFonts w:ascii="宋体" w:hAnsi="宋体" w:cs="宋体"/>
                <w:kern w:val="0"/>
                <w:sz w:val="24"/>
              </w:rPr>
            </w:pPr>
            <w:r>
              <w:rPr>
                <w:rFonts w:hint="eastAsia" w:ascii="宋体" w:hAnsi="宋体" w:cs="宋体"/>
                <w:kern w:val="0"/>
                <w:sz w:val="24"/>
              </w:rPr>
              <w:t>检查科室分析：查看各个检查科室的均分、达标率、同比变化情况及存在问题的检查明细等数据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widowControl/>
              <w:jc w:val="left"/>
              <w:rPr>
                <w:rFonts w:ascii="宋体" w:hAnsi="宋体" w:cs="宋体"/>
                <w:kern w:val="0"/>
                <w:sz w:val="24"/>
              </w:rPr>
            </w:pPr>
          </w:p>
        </w:tc>
        <w:tc>
          <w:tcPr>
            <w:tcW w:w="1858" w:type="dxa"/>
            <w:vMerge w:val="restart"/>
            <w:vAlign w:val="center"/>
          </w:tcPr>
          <w:p>
            <w:pPr>
              <w:widowControl/>
              <w:jc w:val="left"/>
              <w:rPr>
                <w:rFonts w:ascii="宋体" w:hAnsi="宋体" w:cs="宋体"/>
                <w:kern w:val="0"/>
                <w:sz w:val="24"/>
              </w:rPr>
            </w:pPr>
            <w:r>
              <w:rPr>
                <w:rFonts w:hint="eastAsia" w:ascii="宋体" w:hAnsi="宋体" w:cs="宋体"/>
                <w:kern w:val="0"/>
                <w:sz w:val="24"/>
              </w:rPr>
              <w:t>满意度调查数据查看</w:t>
            </w:r>
          </w:p>
        </w:tc>
        <w:tc>
          <w:tcPr>
            <w:tcW w:w="7402" w:type="dxa"/>
            <w:vAlign w:val="center"/>
          </w:tcPr>
          <w:p>
            <w:pPr>
              <w:widowControl/>
              <w:jc w:val="left"/>
              <w:rPr>
                <w:rFonts w:ascii="宋体" w:hAnsi="宋体" w:cs="宋体"/>
                <w:kern w:val="0"/>
                <w:sz w:val="24"/>
              </w:rPr>
            </w:pPr>
            <w:r>
              <w:rPr>
                <w:rFonts w:hint="eastAsia" w:ascii="宋体" w:hAnsi="宋体" w:cs="宋体"/>
                <w:kern w:val="0"/>
                <w:sz w:val="24"/>
              </w:rPr>
              <w:t>▲</w:t>
            </w:r>
            <w:r>
              <w:rPr>
                <w:rFonts w:hint="eastAsia" w:ascii="宋体" w:hAnsi="宋体" w:cs="宋体"/>
                <w:sz w:val="24"/>
              </w:rPr>
              <w:t>总体趋势查看：实时查看全院满意度调查的变化趋势及细则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widowControl/>
              <w:jc w:val="left"/>
              <w:rPr>
                <w:rFonts w:ascii="宋体" w:hAnsi="宋体" w:cs="宋体"/>
                <w:kern w:val="0"/>
                <w:sz w:val="24"/>
              </w:rPr>
            </w:pPr>
          </w:p>
        </w:tc>
        <w:tc>
          <w:tcPr>
            <w:tcW w:w="1858" w:type="dxa"/>
            <w:vMerge w:val="continue"/>
            <w:vAlign w:val="center"/>
          </w:tcPr>
          <w:p>
            <w:pPr>
              <w:widowControl/>
              <w:jc w:val="left"/>
              <w:rPr>
                <w:rFonts w:ascii="宋体" w:hAnsi="宋体" w:cs="宋体"/>
                <w:kern w:val="0"/>
                <w:sz w:val="24"/>
              </w:rPr>
            </w:pPr>
          </w:p>
        </w:tc>
        <w:tc>
          <w:tcPr>
            <w:tcW w:w="7402" w:type="dxa"/>
            <w:vAlign w:val="center"/>
          </w:tcPr>
          <w:p>
            <w:pPr>
              <w:widowControl/>
              <w:jc w:val="left"/>
              <w:rPr>
                <w:rFonts w:ascii="宋体" w:hAnsi="宋体" w:cs="宋体"/>
                <w:kern w:val="0"/>
                <w:sz w:val="24"/>
              </w:rPr>
            </w:pPr>
            <w:r>
              <w:rPr>
                <w:rFonts w:hint="eastAsia" w:ascii="宋体" w:hAnsi="宋体" w:cs="宋体"/>
                <w:sz w:val="24"/>
              </w:rPr>
              <w:t>调查模版分析：查看各个检查模版的均分、达标率、存在问题的检查明细等数据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062" w:type="dxa"/>
            <w:vMerge w:val="continue"/>
            <w:vAlign w:val="center"/>
          </w:tcPr>
          <w:p>
            <w:pPr>
              <w:widowControl/>
              <w:jc w:val="left"/>
              <w:rPr>
                <w:rFonts w:ascii="宋体" w:hAnsi="宋体" w:cs="宋体"/>
                <w:kern w:val="0"/>
                <w:sz w:val="24"/>
              </w:rPr>
            </w:pPr>
          </w:p>
        </w:tc>
        <w:tc>
          <w:tcPr>
            <w:tcW w:w="1858" w:type="dxa"/>
            <w:vMerge w:val="restart"/>
            <w:vAlign w:val="center"/>
          </w:tcPr>
          <w:p>
            <w:pPr>
              <w:widowControl/>
              <w:jc w:val="left"/>
              <w:rPr>
                <w:rFonts w:ascii="宋体" w:hAnsi="宋体" w:cs="宋体"/>
                <w:kern w:val="0"/>
                <w:sz w:val="24"/>
              </w:rPr>
            </w:pPr>
            <w:r>
              <w:rPr>
                <w:rFonts w:hint="eastAsia" w:ascii="宋体" w:hAnsi="宋体" w:cs="宋体"/>
                <w:kern w:val="0"/>
                <w:sz w:val="24"/>
              </w:rPr>
              <w:t>请假事务与上报事件事务处理</w:t>
            </w:r>
          </w:p>
        </w:tc>
        <w:tc>
          <w:tcPr>
            <w:tcW w:w="7402" w:type="dxa"/>
            <w:vAlign w:val="center"/>
          </w:tcPr>
          <w:p>
            <w:pPr>
              <w:widowControl/>
              <w:jc w:val="left"/>
              <w:rPr>
                <w:rFonts w:ascii="宋体" w:hAnsi="宋体" w:cs="宋体"/>
                <w:kern w:val="0"/>
                <w:sz w:val="24"/>
              </w:rPr>
            </w:pPr>
            <w:r>
              <w:rPr>
                <w:rFonts w:hint="eastAsia" w:ascii="宋体" w:hAnsi="宋体" w:cs="宋体"/>
                <w:kern w:val="0"/>
                <w:sz w:val="24"/>
              </w:rPr>
              <w:t>请假信息通过OA管理平台获取，并可以查看往期的历史请假数据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widowControl/>
              <w:jc w:val="left"/>
              <w:rPr>
                <w:rFonts w:ascii="宋体" w:hAnsi="宋体" w:cs="宋体"/>
                <w:kern w:val="0"/>
                <w:sz w:val="24"/>
              </w:rPr>
            </w:pPr>
          </w:p>
        </w:tc>
        <w:tc>
          <w:tcPr>
            <w:tcW w:w="1858" w:type="dxa"/>
            <w:vMerge w:val="continue"/>
            <w:vAlign w:val="center"/>
          </w:tcPr>
          <w:p>
            <w:pPr>
              <w:widowControl/>
              <w:jc w:val="left"/>
              <w:rPr>
                <w:rFonts w:ascii="宋体" w:hAnsi="宋体" w:cs="宋体"/>
                <w:kern w:val="0"/>
                <w:sz w:val="24"/>
              </w:rPr>
            </w:pPr>
          </w:p>
        </w:tc>
        <w:tc>
          <w:tcPr>
            <w:tcW w:w="7402" w:type="dxa"/>
            <w:vAlign w:val="center"/>
          </w:tcPr>
          <w:p>
            <w:pPr>
              <w:widowControl/>
              <w:jc w:val="left"/>
              <w:rPr>
                <w:rFonts w:ascii="宋体" w:hAnsi="宋体" w:cs="宋体"/>
                <w:kern w:val="0"/>
                <w:sz w:val="24"/>
              </w:rPr>
            </w:pPr>
            <w:r>
              <w:rPr>
                <w:rFonts w:hint="eastAsia" w:ascii="宋体" w:hAnsi="宋体" w:cs="宋体"/>
                <w:kern w:val="0"/>
                <w:sz w:val="24"/>
              </w:rPr>
              <w:t>上报事件消息通知：实时获取待审核上报事件消息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widowControl/>
              <w:jc w:val="left"/>
              <w:rPr>
                <w:rFonts w:ascii="宋体" w:hAnsi="宋体" w:cs="宋体"/>
                <w:kern w:val="0"/>
                <w:sz w:val="24"/>
              </w:rPr>
            </w:pPr>
          </w:p>
        </w:tc>
        <w:tc>
          <w:tcPr>
            <w:tcW w:w="1858" w:type="dxa"/>
            <w:vMerge w:val="continue"/>
            <w:vAlign w:val="center"/>
          </w:tcPr>
          <w:p>
            <w:pPr>
              <w:widowControl/>
              <w:jc w:val="left"/>
              <w:rPr>
                <w:rFonts w:ascii="宋体" w:hAnsi="宋体" w:cs="宋体"/>
                <w:kern w:val="0"/>
                <w:sz w:val="24"/>
              </w:rPr>
            </w:pPr>
          </w:p>
        </w:tc>
        <w:tc>
          <w:tcPr>
            <w:tcW w:w="7402" w:type="dxa"/>
            <w:vAlign w:val="center"/>
          </w:tcPr>
          <w:p>
            <w:pPr>
              <w:widowControl/>
              <w:jc w:val="left"/>
              <w:rPr>
                <w:rFonts w:ascii="宋体" w:hAnsi="宋体" w:cs="宋体"/>
                <w:kern w:val="0"/>
                <w:sz w:val="24"/>
              </w:rPr>
            </w:pPr>
            <w:r>
              <w:rPr>
                <w:rFonts w:hint="eastAsia" w:ascii="宋体" w:hAnsi="宋体" w:cs="宋体"/>
                <w:kern w:val="0"/>
                <w:sz w:val="24"/>
              </w:rPr>
              <w:t>▲上报事件消息审核：随时随地进行上报事件消息的审核处理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widowControl/>
              <w:jc w:val="left"/>
              <w:rPr>
                <w:rFonts w:ascii="宋体" w:hAnsi="宋体" w:cs="宋体"/>
                <w:kern w:val="0"/>
                <w:sz w:val="24"/>
              </w:rPr>
            </w:pPr>
          </w:p>
        </w:tc>
        <w:tc>
          <w:tcPr>
            <w:tcW w:w="1858" w:type="dxa"/>
            <w:vMerge w:val="continue"/>
            <w:vAlign w:val="center"/>
          </w:tcPr>
          <w:p>
            <w:pPr>
              <w:widowControl/>
              <w:jc w:val="left"/>
              <w:rPr>
                <w:rFonts w:ascii="宋体" w:hAnsi="宋体" w:cs="宋体"/>
                <w:kern w:val="0"/>
                <w:sz w:val="24"/>
              </w:rPr>
            </w:pPr>
          </w:p>
        </w:tc>
        <w:tc>
          <w:tcPr>
            <w:tcW w:w="7402" w:type="dxa"/>
            <w:vAlign w:val="center"/>
          </w:tcPr>
          <w:p>
            <w:pPr>
              <w:widowControl/>
              <w:jc w:val="left"/>
              <w:rPr>
                <w:rFonts w:ascii="宋体" w:hAnsi="宋体" w:cs="宋体"/>
                <w:kern w:val="0"/>
                <w:sz w:val="24"/>
              </w:rPr>
            </w:pPr>
            <w:r>
              <w:rPr>
                <w:rFonts w:hint="eastAsia" w:ascii="宋体" w:hAnsi="宋体" w:cs="宋体"/>
                <w:kern w:val="0"/>
                <w:sz w:val="24"/>
              </w:rPr>
              <w:t>上报事件历史信息查看：查看往期的历史上报事件审核数据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widowControl/>
              <w:jc w:val="left"/>
              <w:rPr>
                <w:rFonts w:ascii="宋体" w:hAnsi="宋体" w:cs="宋体"/>
                <w:kern w:val="0"/>
                <w:sz w:val="24"/>
              </w:rPr>
            </w:pPr>
          </w:p>
        </w:tc>
        <w:tc>
          <w:tcPr>
            <w:tcW w:w="1858" w:type="dxa"/>
            <w:vMerge w:val="restart"/>
            <w:vAlign w:val="center"/>
          </w:tcPr>
          <w:p>
            <w:pPr>
              <w:widowControl/>
              <w:jc w:val="left"/>
              <w:rPr>
                <w:rFonts w:ascii="宋体" w:hAnsi="宋体" w:cs="宋体"/>
                <w:kern w:val="0"/>
                <w:sz w:val="24"/>
              </w:rPr>
            </w:pPr>
            <w:r>
              <w:rPr>
                <w:rFonts w:hint="eastAsia" w:ascii="宋体" w:hAnsi="宋体" w:cs="宋体"/>
                <w:kern w:val="0"/>
                <w:sz w:val="24"/>
              </w:rPr>
              <w:t>质量检查事务处理</w:t>
            </w:r>
          </w:p>
        </w:tc>
        <w:tc>
          <w:tcPr>
            <w:tcW w:w="7402" w:type="dxa"/>
            <w:vAlign w:val="center"/>
          </w:tcPr>
          <w:p>
            <w:pPr>
              <w:widowControl/>
              <w:jc w:val="left"/>
              <w:rPr>
                <w:rFonts w:ascii="宋体" w:hAnsi="宋体" w:cs="宋体"/>
                <w:kern w:val="0"/>
                <w:sz w:val="24"/>
              </w:rPr>
            </w:pPr>
            <w:r>
              <w:rPr>
                <w:rFonts w:hint="eastAsia" w:ascii="宋体" w:hAnsi="宋体" w:cs="宋体"/>
                <w:kern w:val="0"/>
                <w:sz w:val="24"/>
              </w:rPr>
              <w:t>质量检查的消息通知：实时获取待下发的质量检查信息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widowControl/>
              <w:jc w:val="left"/>
              <w:rPr>
                <w:rFonts w:ascii="宋体" w:hAnsi="宋体" w:cs="宋体"/>
                <w:kern w:val="0"/>
                <w:sz w:val="24"/>
              </w:rPr>
            </w:pPr>
          </w:p>
        </w:tc>
        <w:tc>
          <w:tcPr>
            <w:tcW w:w="1858" w:type="dxa"/>
            <w:vMerge w:val="continue"/>
            <w:vAlign w:val="center"/>
          </w:tcPr>
          <w:p>
            <w:pPr>
              <w:widowControl/>
              <w:jc w:val="left"/>
              <w:rPr>
                <w:rFonts w:ascii="宋体" w:hAnsi="宋体" w:cs="宋体"/>
                <w:kern w:val="0"/>
                <w:sz w:val="24"/>
              </w:rPr>
            </w:pPr>
          </w:p>
        </w:tc>
        <w:tc>
          <w:tcPr>
            <w:tcW w:w="7402" w:type="dxa"/>
            <w:vAlign w:val="center"/>
          </w:tcPr>
          <w:p>
            <w:pPr>
              <w:widowControl/>
              <w:jc w:val="left"/>
              <w:rPr>
                <w:rFonts w:ascii="宋体" w:hAnsi="宋体" w:cs="宋体"/>
                <w:kern w:val="0"/>
                <w:sz w:val="24"/>
              </w:rPr>
            </w:pPr>
            <w:r>
              <w:rPr>
                <w:rFonts w:hint="eastAsia" w:ascii="宋体" w:hAnsi="宋体" w:cs="宋体"/>
                <w:kern w:val="0"/>
                <w:sz w:val="24"/>
              </w:rPr>
              <w:t>▲质量检查消息的审核下发：随时随地进行质量检查的审核下发工作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2" w:type="dxa"/>
            <w:vMerge w:val="continue"/>
            <w:vAlign w:val="center"/>
          </w:tcPr>
          <w:p>
            <w:pPr>
              <w:widowControl/>
              <w:jc w:val="left"/>
              <w:rPr>
                <w:rFonts w:ascii="宋体" w:hAnsi="宋体" w:cs="宋体"/>
                <w:kern w:val="0"/>
                <w:sz w:val="24"/>
              </w:rPr>
            </w:pPr>
          </w:p>
        </w:tc>
        <w:tc>
          <w:tcPr>
            <w:tcW w:w="1858" w:type="dxa"/>
            <w:vMerge w:val="continue"/>
            <w:vAlign w:val="center"/>
          </w:tcPr>
          <w:p>
            <w:pPr>
              <w:widowControl/>
              <w:jc w:val="left"/>
              <w:rPr>
                <w:rFonts w:ascii="宋体" w:hAnsi="宋体" w:cs="宋体"/>
                <w:kern w:val="0"/>
                <w:sz w:val="24"/>
              </w:rPr>
            </w:pPr>
          </w:p>
        </w:tc>
        <w:tc>
          <w:tcPr>
            <w:tcW w:w="7402" w:type="dxa"/>
            <w:vAlign w:val="center"/>
          </w:tcPr>
          <w:p>
            <w:pPr>
              <w:widowControl/>
              <w:jc w:val="left"/>
              <w:rPr>
                <w:rFonts w:ascii="宋体" w:hAnsi="宋体" w:cs="宋体"/>
                <w:kern w:val="0"/>
                <w:sz w:val="24"/>
              </w:rPr>
            </w:pPr>
            <w:r>
              <w:rPr>
                <w:rFonts w:hint="eastAsia" w:ascii="宋体" w:hAnsi="宋体" w:cs="宋体"/>
                <w:kern w:val="0"/>
                <w:sz w:val="24"/>
              </w:rPr>
              <w:t>质量检查历史审核消息查看：查看往期的历史质量检查的审核数据</w:t>
            </w:r>
          </w:p>
        </w:tc>
      </w:tr>
    </w:tbl>
    <w:p>
      <w:pPr>
        <w:pStyle w:val="6"/>
        <w:jc w:val="both"/>
      </w:pPr>
      <w:r>
        <w:rPr>
          <w:rFonts w:hint="eastAsia"/>
        </w:rPr>
        <w:t>护理教学培训（可独立建设）：</w:t>
      </w:r>
    </w:p>
    <w:p>
      <w:pPr>
        <w:pStyle w:val="43"/>
      </w:pPr>
      <w:r>
        <w:t>APP</w:t>
      </w:r>
      <w:r>
        <w:rPr>
          <w:rFonts w:hint="eastAsia"/>
        </w:rPr>
        <w:t>端：</w:t>
      </w:r>
    </w:p>
    <w:tbl>
      <w:tblPr>
        <w:tblStyle w:val="47"/>
        <w:tblW w:w="10320" w:type="dxa"/>
        <w:tblInd w:w="-1116" w:type="dxa"/>
        <w:tblLayout w:type="fixed"/>
        <w:tblCellMar>
          <w:top w:w="0" w:type="dxa"/>
          <w:left w:w="108" w:type="dxa"/>
          <w:bottom w:w="0" w:type="dxa"/>
          <w:right w:w="108" w:type="dxa"/>
        </w:tblCellMar>
      </w:tblPr>
      <w:tblGrid>
        <w:gridCol w:w="1080"/>
        <w:gridCol w:w="3300"/>
        <w:gridCol w:w="5940"/>
      </w:tblGrid>
      <w:tr>
        <w:tblPrEx>
          <w:tblCellMar>
            <w:top w:w="0" w:type="dxa"/>
            <w:left w:w="108" w:type="dxa"/>
            <w:bottom w:w="0" w:type="dxa"/>
            <w:right w:w="108" w:type="dxa"/>
          </w:tblCellMar>
        </w:tblPrEx>
        <w:trPr>
          <w:trHeight w:val="356" w:hRule="atLeast"/>
          <w:tblHeader/>
        </w:trPr>
        <w:tc>
          <w:tcPr>
            <w:tcW w:w="1080" w:type="dxa"/>
            <w:tcBorders>
              <w:top w:val="single" w:color="CCCCCC" w:sz="6" w:space="0"/>
              <w:left w:val="single" w:color="CCCCCC" w:sz="6" w:space="0"/>
              <w:bottom w:val="single" w:color="CCCCCC" w:sz="6" w:space="0"/>
              <w:right w:val="single" w:color="CCCCCC" w:sz="6" w:space="0"/>
            </w:tcBorders>
            <w:shd w:val="clear" w:color="auto" w:fill="F9F9F9"/>
            <w:tcMar>
              <w:top w:w="30" w:type="dxa"/>
              <w:left w:w="60" w:type="dxa"/>
              <w:bottom w:w="30" w:type="dxa"/>
              <w:right w:w="60" w:type="dxa"/>
            </w:tcMar>
          </w:tcPr>
          <w:p>
            <w:pPr>
              <w:spacing w:before="225" w:after="225"/>
              <w:rPr>
                <w:b/>
                <w:bCs/>
                <w:sz w:val="24"/>
              </w:rPr>
            </w:pPr>
            <w:r>
              <w:rPr>
                <w:rFonts w:hint="eastAsia"/>
                <w:b/>
                <w:bCs/>
                <w:sz w:val="24"/>
              </w:rPr>
              <w:t>模块</w:t>
            </w:r>
          </w:p>
        </w:tc>
        <w:tc>
          <w:tcPr>
            <w:tcW w:w="3300" w:type="dxa"/>
            <w:tcBorders>
              <w:top w:val="single" w:color="CCCCCC" w:sz="6" w:space="0"/>
              <w:left w:val="single" w:color="CCCCCC" w:sz="6" w:space="0"/>
              <w:bottom w:val="single" w:color="CCCCCC" w:sz="6" w:space="0"/>
              <w:right w:val="single" w:color="CCCCCC" w:sz="6" w:space="0"/>
            </w:tcBorders>
            <w:shd w:val="clear" w:color="auto" w:fill="F9F9F9"/>
            <w:tcMar>
              <w:top w:w="30" w:type="dxa"/>
              <w:left w:w="60" w:type="dxa"/>
              <w:bottom w:w="30" w:type="dxa"/>
              <w:right w:w="60" w:type="dxa"/>
            </w:tcMar>
          </w:tcPr>
          <w:p>
            <w:pPr>
              <w:spacing w:before="225" w:after="225"/>
              <w:rPr>
                <w:b/>
                <w:bCs/>
                <w:sz w:val="24"/>
              </w:rPr>
            </w:pPr>
            <w:r>
              <w:rPr>
                <w:rFonts w:hint="eastAsia"/>
                <w:b/>
                <w:bCs/>
                <w:sz w:val="24"/>
              </w:rPr>
              <w:t>功能点</w:t>
            </w:r>
          </w:p>
        </w:tc>
        <w:tc>
          <w:tcPr>
            <w:tcW w:w="5940" w:type="dxa"/>
            <w:tcBorders>
              <w:top w:val="single" w:color="CCCCCC" w:sz="6" w:space="0"/>
              <w:left w:val="single" w:color="CCCCCC" w:sz="6" w:space="0"/>
              <w:bottom w:val="single" w:color="CCCCCC" w:sz="6" w:space="0"/>
              <w:right w:val="single" w:color="CCCCCC" w:sz="6" w:space="0"/>
            </w:tcBorders>
            <w:shd w:val="clear" w:color="auto" w:fill="F9F9F9"/>
            <w:tcMar>
              <w:top w:w="30" w:type="dxa"/>
              <w:left w:w="60" w:type="dxa"/>
              <w:bottom w:w="30" w:type="dxa"/>
              <w:right w:w="60" w:type="dxa"/>
            </w:tcMar>
          </w:tcPr>
          <w:p>
            <w:pPr>
              <w:spacing w:before="225" w:after="225"/>
              <w:rPr>
                <w:b/>
                <w:bCs/>
                <w:sz w:val="24"/>
              </w:rPr>
            </w:pPr>
            <w:r>
              <w:rPr>
                <w:rFonts w:hint="eastAsia"/>
                <w:b/>
                <w:bCs/>
                <w:sz w:val="24"/>
              </w:rPr>
              <w:t>说明</w:t>
            </w:r>
          </w:p>
        </w:tc>
      </w:tr>
      <w:tr>
        <w:tblPrEx>
          <w:tblCellMar>
            <w:top w:w="0" w:type="dxa"/>
            <w:left w:w="108" w:type="dxa"/>
            <w:bottom w:w="0" w:type="dxa"/>
            <w:right w:w="108" w:type="dxa"/>
          </w:tblCellMar>
        </w:tblPrEx>
        <w:trPr>
          <w:trHeight w:val="90" w:hRule="atLeast"/>
        </w:trPr>
        <w:tc>
          <w:tcPr>
            <w:tcW w:w="108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rFonts w:hint="eastAsia"/>
                <w:sz w:val="24"/>
              </w:rPr>
              <w:t>考试</w:t>
            </w:r>
          </w:p>
        </w:tc>
        <w:tc>
          <w:tcPr>
            <w:tcW w:w="330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sz w:val="24"/>
              </w:rPr>
              <w:t>1.</w:t>
            </w:r>
            <w:r>
              <w:rPr>
                <w:rFonts w:hint="eastAsia"/>
                <w:sz w:val="24"/>
              </w:rPr>
              <w:t>考前接收通知</w:t>
            </w:r>
            <w:r>
              <w:rPr>
                <w:sz w:val="24"/>
              </w:rPr>
              <w:br w:type="textWrapping"/>
            </w:r>
            <w:r>
              <w:rPr>
                <w:sz w:val="24"/>
              </w:rPr>
              <w:t>2.</w:t>
            </w:r>
            <w:r>
              <w:rPr>
                <w:rFonts w:hint="eastAsia"/>
                <w:sz w:val="24"/>
              </w:rPr>
              <w:t>现场手机签到</w:t>
            </w:r>
            <w:r>
              <w:rPr>
                <w:sz w:val="24"/>
              </w:rPr>
              <w:br w:type="textWrapping"/>
            </w:r>
            <w:r>
              <w:rPr>
                <w:sz w:val="24"/>
              </w:rPr>
              <w:t>3.</w:t>
            </w:r>
            <w:r>
              <w:rPr>
                <w:rFonts w:hint="eastAsia"/>
                <w:sz w:val="24"/>
              </w:rPr>
              <w:t>自动加载试卷</w:t>
            </w:r>
            <w:r>
              <w:rPr>
                <w:sz w:val="24"/>
              </w:rPr>
              <w:br w:type="textWrapping"/>
            </w:r>
            <w:r>
              <w:rPr>
                <w:sz w:val="24"/>
              </w:rPr>
              <w:t>4.</w:t>
            </w:r>
            <w:r>
              <w:rPr>
                <w:rFonts w:hint="eastAsia"/>
                <w:sz w:val="24"/>
              </w:rPr>
              <w:t>考完自动出分数</w:t>
            </w:r>
            <w:r>
              <w:rPr>
                <w:sz w:val="24"/>
              </w:rPr>
              <w:br w:type="textWrapping"/>
            </w:r>
            <w:r>
              <w:rPr>
                <w:sz w:val="24"/>
              </w:rPr>
              <w:t>5.</w:t>
            </w:r>
            <w:r>
              <w:rPr>
                <w:rFonts w:hint="eastAsia"/>
                <w:sz w:val="24"/>
              </w:rPr>
              <w:t>成绩自动汇总到后台</w:t>
            </w:r>
            <w:r>
              <w:rPr>
                <w:sz w:val="24"/>
              </w:rPr>
              <w:br w:type="textWrapping"/>
            </w:r>
            <w:r>
              <w:rPr>
                <w:sz w:val="24"/>
              </w:rPr>
              <w:t>6.</w:t>
            </w:r>
            <w:r>
              <w:rPr>
                <w:rFonts w:hint="eastAsia"/>
                <w:sz w:val="24"/>
              </w:rPr>
              <w:t>在线考试</w:t>
            </w:r>
            <w:r>
              <w:rPr>
                <w:sz w:val="24"/>
              </w:rPr>
              <w:br w:type="textWrapping"/>
            </w:r>
            <w:r>
              <w:rPr>
                <w:sz w:val="24"/>
              </w:rPr>
              <w:t>7.</w:t>
            </w:r>
            <w:r>
              <w:rPr>
                <w:rFonts w:hint="eastAsia"/>
                <w:sz w:val="24"/>
              </w:rPr>
              <w:t>查看即将参加的考试</w:t>
            </w:r>
            <w:r>
              <w:rPr>
                <w:sz w:val="24"/>
              </w:rPr>
              <w:br w:type="textWrapping"/>
            </w:r>
            <w:r>
              <w:rPr>
                <w:sz w:val="24"/>
              </w:rPr>
              <w:t>8.</w:t>
            </w:r>
            <w:r>
              <w:rPr>
                <w:rFonts w:hint="eastAsia"/>
                <w:sz w:val="24"/>
              </w:rPr>
              <w:t>查看历史考试记录</w:t>
            </w:r>
            <w:r>
              <w:rPr>
                <w:sz w:val="24"/>
              </w:rPr>
              <w:br w:type="textWrapping"/>
            </w:r>
            <w:r>
              <w:rPr>
                <w:rFonts w:hint="eastAsia"/>
                <w:sz w:val="24"/>
              </w:rPr>
              <w:t>▲</w:t>
            </w:r>
            <w:r>
              <w:rPr>
                <w:sz w:val="24"/>
              </w:rPr>
              <w:t>9.</w:t>
            </w:r>
            <w:r>
              <w:rPr>
                <w:rFonts w:hint="eastAsia"/>
                <w:sz w:val="24"/>
              </w:rPr>
              <w:t>作弊监控系统</w:t>
            </w:r>
            <w:r>
              <w:rPr>
                <w:sz w:val="24"/>
              </w:rPr>
              <w:br w:type="textWrapping"/>
            </w:r>
            <w:r>
              <w:rPr>
                <w:sz w:val="24"/>
              </w:rPr>
              <w:t>10.</w:t>
            </w:r>
            <w:r>
              <w:rPr>
                <w:rFonts w:hint="eastAsia"/>
                <w:sz w:val="24"/>
              </w:rPr>
              <w:t>参加补考</w:t>
            </w:r>
          </w:p>
        </w:tc>
        <w:tc>
          <w:tcPr>
            <w:tcW w:w="594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sz w:val="24"/>
              </w:rPr>
              <w:t>1.</w:t>
            </w:r>
            <w:r>
              <w:rPr>
                <w:rFonts w:hint="eastAsia"/>
                <w:sz w:val="24"/>
              </w:rPr>
              <w:t>手机下载</w:t>
            </w:r>
            <w:r>
              <w:rPr>
                <w:sz w:val="24"/>
              </w:rPr>
              <w:t>app</w:t>
            </w:r>
            <w:r>
              <w:rPr>
                <w:rFonts w:hint="eastAsia"/>
                <w:sz w:val="24"/>
              </w:rPr>
              <w:t>即可参加考试，考试从通知到结束乃至补考都是自动化进行。</w:t>
            </w:r>
            <w:r>
              <w:rPr>
                <w:sz w:val="24"/>
              </w:rPr>
              <w:br w:type="textWrapping"/>
            </w:r>
            <w:r>
              <w:rPr>
                <w:sz w:val="24"/>
              </w:rPr>
              <w:t>2.</w:t>
            </w:r>
            <w:r>
              <w:rPr>
                <w:rFonts w:hint="eastAsia"/>
                <w:sz w:val="24"/>
              </w:rPr>
              <w:t>考试成绩数据、监控数据完整汇总统计到护理后台。</w:t>
            </w:r>
            <w:r>
              <w:rPr>
                <w:sz w:val="24"/>
              </w:rPr>
              <w:br w:type="textWrapping"/>
            </w:r>
            <w:r>
              <w:rPr>
                <w:sz w:val="24"/>
              </w:rPr>
              <w:t>3.</w:t>
            </w:r>
            <w:r>
              <w:rPr>
                <w:rFonts w:hint="eastAsia"/>
                <w:sz w:val="24"/>
              </w:rPr>
              <w:t>传统</w:t>
            </w:r>
            <w:r>
              <w:rPr>
                <w:sz w:val="24"/>
              </w:rPr>
              <w:t>PC</w:t>
            </w:r>
            <w:r>
              <w:rPr>
                <w:rFonts w:hint="eastAsia"/>
                <w:sz w:val="24"/>
              </w:rPr>
              <w:t>端、纸质无法达到的自动化、移动化。</w:t>
            </w:r>
            <w:r>
              <w:rPr>
                <w:sz w:val="24"/>
              </w:rPr>
              <w:br w:type="textWrapping"/>
            </w:r>
            <w:r>
              <w:rPr>
                <w:sz w:val="24"/>
              </w:rPr>
              <w:t>4.</w:t>
            </w:r>
            <w:r>
              <w:rPr>
                <w:rFonts w:hint="eastAsia"/>
                <w:sz w:val="24"/>
              </w:rPr>
              <w:t>节约采购</w:t>
            </w:r>
            <w:r>
              <w:rPr>
                <w:sz w:val="24"/>
              </w:rPr>
              <w:t>PC</w:t>
            </w:r>
            <w:r>
              <w:rPr>
                <w:rFonts w:hint="eastAsia"/>
                <w:sz w:val="24"/>
              </w:rPr>
              <w:t>电脑成本、纸质统计效率。真正的信息化。</w:t>
            </w:r>
            <w:r>
              <w:rPr>
                <w:sz w:val="24"/>
              </w:rPr>
              <w:br w:type="textWrapping"/>
            </w:r>
            <w:r>
              <w:rPr>
                <w:sz w:val="24"/>
              </w:rPr>
              <w:t>5.</w:t>
            </w:r>
            <w:r>
              <w:rPr>
                <w:rFonts w:hint="eastAsia"/>
                <w:sz w:val="24"/>
              </w:rPr>
              <w:t>可用于护理部、科室、病区等所有院内考试业务。</w:t>
            </w:r>
            <w:r>
              <w:rPr>
                <w:sz w:val="24"/>
              </w:rPr>
              <w:br w:type="textWrapping"/>
            </w:r>
            <w:r>
              <w:rPr>
                <w:sz w:val="24"/>
              </w:rPr>
              <w:t>6.</w:t>
            </w:r>
            <w:r>
              <w:rPr>
                <w:rFonts w:hint="eastAsia"/>
                <w:sz w:val="24"/>
              </w:rPr>
              <w:t>在线考试，无需现场签到，大考前的线上模拟测试。提升大考效率，减轻护士压力。</w:t>
            </w:r>
          </w:p>
        </w:tc>
      </w:tr>
      <w:tr>
        <w:tblPrEx>
          <w:tblCellMar>
            <w:top w:w="0" w:type="dxa"/>
            <w:left w:w="108" w:type="dxa"/>
            <w:bottom w:w="0" w:type="dxa"/>
            <w:right w:w="108" w:type="dxa"/>
          </w:tblCellMar>
        </w:tblPrEx>
        <w:trPr>
          <w:trHeight w:val="2325" w:hRule="atLeast"/>
        </w:trPr>
        <w:tc>
          <w:tcPr>
            <w:tcW w:w="108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rFonts w:hint="eastAsia"/>
                <w:sz w:val="24"/>
              </w:rPr>
              <w:t>培训</w:t>
            </w:r>
          </w:p>
        </w:tc>
        <w:tc>
          <w:tcPr>
            <w:tcW w:w="330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sz w:val="24"/>
              </w:rPr>
              <w:t>1.</w:t>
            </w:r>
            <w:r>
              <w:rPr>
                <w:rFonts w:hint="eastAsia"/>
                <w:sz w:val="24"/>
              </w:rPr>
              <w:t>培训前接收通知</w:t>
            </w:r>
            <w:r>
              <w:rPr>
                <w:sz w:val="24"/>
              </w:rPr>
              <w:br w:type="textWrapping"/>
            </w:r>
            <w:r>
              <w:rPr>
                <w:sz w:val="24"/>
              </w:rPr>
              <w:t>2.</w:t>
            </w:r>
            <w:r>
              <w:rPr>
                <w:rFonts w:hint="eastAsia"/>
                <w:sz w:val="24"/>
              </w:rPr>
              <w:t>现场手机签到</w:t>
            </w:r>
            <w:r>
              <w:rPr>
                <w:sz w:val="24"/>
              </w:rPr>
              <w:br w:type="textWrapping"/>
            </w:r>
            <w:r>
              <w:rPr>
                <w:sz w:val="24"/>
              </w:rPr>
              <w:t>3.</w:t>
            </w:r>
            <w:r>
              <w:rPr>
                <w:rFonts w:hint="eastAsia"/>
                <w:sz w:val="24"/>
              </w:rPr>
              <w:t>培训课件阅读</w:t>
            </w:r>
            <w:r>
              <w:rPr>
                <w:sz w:val="24"/>
              </w:rPr>
              <w:br w:type="textWrapping"/>
            </w:r>
            <w:r>
              <w:rPr>
                <w:sz w:val="24"/>
              </w:rPr>
              <w:t>4.</w:t>
            </w:r>
            <w:r>
              <w:rPr>
                <w:rFonts w:hint="eastAsia"/>
                <w:sz w:val="24"/>
              </w:rPr>
              <w:t>课堂评测</w:t>
            </w:r>
            <w:r>
              <w:rPr>
                <w:sz w:val="24"/>
              </w:rPr>
              <w:br w:type="textWrapping"/>
            </w:r>
            <w:r>
              <w:rPr>
                <w:rFonts w:hint="eastAsia"/>
                <w:sz w:val="24"/>
              </w:rPr>
              <w:t>▲</w:t>
            </w:r>
            <w:r>
              <w:rPr>
                <w:sz w:val="24"/>
              </w:rPr>
              <w:t>5.</w:t>
            </w:r>
            <w:r>
              <w:rPr>
                <w:rFonts w:hint="eastAsia"/>
                <w:sz w:val="24"/>
              </w:rPr>
              <w:t>课后评价</w:t>
            </w:r>
            <w:r>
              <w:rPr>
                <w:sz w:val="24"/>
              </w:rPr>
              <w:br w:type="textWrapping"/>
            </w:r>
            <w:r>
              <w:rPr>
                <w:sz w:val="24"/>
              </w:rPr>
              <w:t>6.</w:t>
            </w:r>
            <w:r>
              <w:rPr>
                <w:rFonts w:hint="eastAsia"/>
                <w:sz w:val="24"/>
              </w:rPr>
              <w:t>查看即将参加的培训</w:t>
            </w:r>
            <w:r>
              <w:rPr>
                <w:sz w:val="24"/>
              </w:rPr>
              <w:br w:type="textWrapping"/>
            </w:r>
            <w:r>
              <w:rPr>
                <w:sz w:val="24"/>
              </w:rPr>
              <w:t>7.</w:t>
            </w:r>
            <w:r>
              <w:rPr>
                <w:rFonts w:hint="eastAsia"/>
                <w:sz w:val="24"/>
              </w:rPr>
              <w:t>查看历史培训记录</w:t>
            </w:r>
            <w:r>
              <w:rPr>
                <w:sz w:val="24"/>
              </w:rPr>
              <w:br w:type="textWrapping"/>
            </w:r>
            <w:r>
              <w:rPr>
                <w:sz w:val="24"/>
              </w:rPr>
              <w:t>8.</w:t>
            </w:r>
            <w:r>
              <w:rPr>
                <w:rFonts w:hint="eastAsia"/>
                <w:sz w:val="24"/>
              </w:rPr>
              <w:t>报名参加培训</w:t>
            </w:r>
          </w:p>
        </w:tc>
        <w:tc>
          <w:tcPr>
            <w:tcW w:w="594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sz w:val="24"/>
              </w:rPr>
              <w:t>1.</w:t>
            </w:r>
            <w:r>
              <w:rPr>
                <w:rFonts w:hint="eastAsia"/>
                <w:sz w:val="24"/>
              </w:rPr>
              <w:t>参加培训从通知到结束，全程自动化进行。</w:t>
            </w:r>
            <w:r>
              <w:rPr>
                <w:sz w:val="24"/>
              </w:rPr>
              <w:br w:type="textWrapping"/>
            </w:r>
            <w:r>
              <w:rPr>
                <w:sz w:val="24"/>
              </w:rPr>
              <w:t>2.</w:t>
            </w:r>
            <w:r>
              <w:rPr>
                <w:rFonts w:hint="eastAsia"/>
                <w:sz w:val="24"/>
              </w:rPr>
              <w:t>护士可查看培训中老师上传的文档课件，课后可加强学习。</w:t>
            </w:r>
            <w:r>
              <w:rPr>
                <w:sz w:val="24"/>
              </w:rPr>
              <w:br w:type="textWrapping"/>
            </w:r>
            <w:r>
              <w:rPr>
                <w:sz w:val="24"/>
              </w:rPr>
              <w:t>3.</w:t>
            </w:r>
            <w:r>
              <w:rPr>
                <w:rFonts w:hint="eastAsia"/>
                <w:sz w:val="24"/>
              </w:rPr>
              <w:t>护士可参与老师课后上传的评测题目，保证培训真实有效听讲。</w:t>
            </w:r>
            <w:r>
              <w:rPr>
                <w:sz w:val="24"/>
              </w:rPr>
              <w:br w:type="textWrapping"/>
            </w:r>
            <w:r>
              <w:rPr>
                <w:sz w:val="24"/>
              </w:rPr>
              <w:t>4.</w:t>
            </w:r>
            <w:r>
              <w:rPr>
                <w:rFonts w:hint="eastAsia"/>
                <w:sz w:val="24"/>
              </w:rPr>
              <w:t>护士可参与老师上传的问卷，对本次培训提出建议。</w:t>
            </w:r>
            <w:r>
              <w:rPr>
                <w:sz w:val="24"/>
              </w:rPr>
              <w:br w:type="textWrapping"/>
            </w:r>
            <w:r>
              <w:rPr>
                <w:sz w:val="24"/>
              </w:rPr>
              <w:t>5.</w:t>
            </w:r>
            <w:r>
              <w:rPr>
                <w:rFonts w:hint="eastAsia"/>
                <w:sz w:val="24"/>
              </w:rPr>
              <w:t>护士参加培训的签到数据，自动汇总到护理后台。</w:t>
            </w:r>
            <w:r>
              <w:rPr>
                <w:sz w:val="24"/>
              </w:rPr>
              <w:br w:type="textWrapping"/>
            </w:r>
            <w:r>
              <w:rPr>
                <w:sz w:val="24"/>
              </w:rPr>
              <w:t>6.</w:t>
            </w:r>
            <w:r>
              <w:rPr>
                <w:rFonts w:hint="eastAsia"/>
                <w:sz w:val="24"/>
              </w:rPr>
              <w:t>护士根据自己的临床工作时间来报名参加培训。</w:t>
            </w:r>
          </w:p>
        </w:tc>
      </w:tr>
      <w:tr>
        <w:tblPrEx>
          <w:tblCellMar>
            <w:top w:w="0" w:type="dxa"/>
            <w:left w:w="108" w:type="dxa"/>
            <w:bottom w:w="0" w:type="dxa"/>
            <w:right w:w="108" w:type="dxa"/>
          </w:tblCellMar>
        </w:tblPrEx>
        <w:trPr>
          <w:trHeight w:val="1158" w:hRule="atLeast"/>
        </w:trPr>
        <w:tc>
          <w:tcPr>
            <w:tcW w:w="108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rFonts w:hint="eastAsia"/>
                <w:sz w:val="24"/>
              </w:rPr>
              <w:t>▲实操考核</w:t>
            </w:r>
          </w:p>
        </w:tc>
        <w:tc>
          <w:tcPr>
            <w:tcW w:w="330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sz w:val="24"/>
              </w:rPr>
              <w:t>1.</w:t>
            </w:r>
            <w:r>
              <w:rPr>
                <w:rFonts w:hint="eastAsia"/>
                <w:sz w:val="24"/>
              </w:rPr>
              <w:t>考核前接收通知</w:t>
            </w:r>
            <w:r>
              <w:rPr>
                <w:sz w:val="24"/>
              </w:rPr>
              <w:br w:type="textWrapping"/>
            </w:r>
            <w:r>
              <w:rPr>
                <w:sz w:val="24"/>
              </w:rPr>
              <w:t>2.</w:t>
            </w:r>
            <w:r>
              <w:rPr>
                <w:rFonts w:hint="eastAsia"/>
                <w:sz w:val="24"/>
              </w:rPr>
              <w:t>现场手机打分</w:t>
            </w:r>
            <w:r>
              <w:rPr>
                <w:sz w:val="24"/>
              </w:rPr>
              <w:br w:type="textWrapping"/>
            </w:r>
            <w:r>
              <w:rPr>
                <w:sz w:val="24"/>
              </w:rPr>
              <w:t>3.</w:t>
            </w:r>
            <w:r>
              <w:rPr>
                <w:rFonts w:hint="eastAsia"/>
                <w:sz w:val="24"/>
              </w:rPr>
              <w:t>查看历史考核记录</w:t>
            </w:r>
          </w:p>
        </w:tc>
        <w:tc>
          <w:tcPr>
            <w:tcW w:w="594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rFonts w:hint="eastAsia"/>
                <w:sz w:val="24"/>
              </w:rPr>
              <w:t>参加培训从通知到结束，全程自动化进行。</w:t>
            </w:r>
            <w:r>
              <w:rPr>
                <w:sz w:val="24"/>
              </w:rPr>
              <w:br w:type="textWrapping"/>
            </w:r>
            <w:r>
              <w:rPr>
                <w:sz w:val="24"/>
              </w:rPr>
              <w:t>2.</w:t>
            </w:r>
            <w:r>
              <w:rPr>
                <w:rFonts w:hint="eastAsia"/>
                <w:sz w:val="24"/>
              </w:rPr>
              <w:t>考官可以手机端完成打分。</w:t>
            </w:r>
            <w:r>
              <w:rPr>
                <w:sz w:val="24"/>
              </w:rPr>
              <w:t>3.</w:t>
            </w:r>
            <w:r>
              <w:rPr>
                <w:rFonts w:hint="eastAsia"/>
                <w:sz w:val="24"/>
              </w:rPr>
              <w:t>打分数据自动汇总到护理后台。</w:t>
            </w:r>
          </w:p>
        </w:tc>
      </w:tr>
      <w:tr>
        <w:tblPrEx>
          <w:tblCellMar>
            <w:top w:w="0" w:type="dxa"/>
            <w:left w:w="108" w:type="dxa"/>
            <w:bottom w:w="0" w:type="dxa"/>
            <w:right w:w="108" w:type="dxa"/>
          </w:tblCellMar>
        </w:tblPrEx>
        <w:tc>
          <w:tcPr>
            <w:tcW w:w="108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rFonts w:hint="eastAsia"/>
                <w:sz w:val="24"/>
              </w:rPr>
              <w:t>▲练习题</w:t>
            </w:r>
          </w:p>
        </w:tc>
        <w:tc>
          <w:tcPr>
            <w:tcW w:w="330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sz w:val="24"/>
              </w:rPr>
              <w:t>1.</w:t>
            </w:r>
            <w:r>
              <w:rPr>
                <w:rFonts w:hint="eastAsia"/>
                <w:sz w:val="24"/>
              </w:rPr>
              <w:t>查看与自己能级对应的练习主题</w:t>
            </w:r>
            <w:r>
              <w:rPr>
                <w:sz w:val="24"/>
              </w:rPr>
              <w:br w:type="textWrapping"/>
            </w:r>
            <w:r>
              <w:rPr>
                <w:sz w:val="24"/>
              </w:rPr>
              <w:t>2.</w:t>
            </w:r>
            <w:r>
              <w:rPr>
                <w:rFonts w:hint="eastAsia"/>
                <w:sz w:val="24"/>
              </w:rPr>
              <w:t>每组</w:t>
            </w:r>
            <w:r>
              <w:rPr>
                <w:sz w:val="24"/>
              </w:rPr>
              <w:t>10</w:t>
            </w:r>
            <w:r>
              <w:rPr>
                <w:rFonts w:hint="eastAsia"/>
                <w:sz w:val="24"/>
              </w:rPr>
              <w:t>道题</w:t>
            </w:r>
            <w:r>
              <w:rPr>
                <w:sz w:val="24"/>
              </w:rPr>
              <w:br w:type="textWrapping"/>
            </w:r>
            <w:r>
              <w:rPr>
                <w:sz w:val="24"/>
              </w:rPr>
              <w:t>3.</w:t>
            </w:r>
            <w:r>
              <w:rPr>
                <w:rFonts w:hint="eastAsia"/>
                <w:sz w:val="24"/>
              </w:rPr>
              <w:t>练习得积分</w:t>
            </w:r>
            <w:r>
              <w:rPr>
                <w:sz w:val="24"/>
              </w:rPr>
              <w:br w:type="textWrapping"/>
            </w:r>
            <w:r>
              <w:rPr>
                <w:sz w:val="24"/>
              </w:rPr>
              <w:t>4.</w:t>
            </w:r>
            <w:r>
              <w:rPr>
                <w:rFonts w:hint="eastAsia"/>
                <w:sz w:val="24"/>
              </w:rPr>
              <w:t>选择题、判断题</w:t>
            </w:r>
            <w:r>
              <w:rPr>
                <w:sz w:val="24"/>
              </w:rPr>
              <w:br w:type="textWrapping"/>
            </w:r>
            <w:r>
              <w:rPr>
                <w:sz w:val="24"/>
              </w:rPr>
              <w:t>5.</w:t>
            </w:r>
            <w:r>
              <w:rPr>
                <w:rFonts w:hint="eastAsia"/>
                <w:sz w:val="24"/>
              </w:rPr>
              <w:t>系统自带数十万护理题目</w:t>
            </w:r>
            <w:r>
              <w:rPr>
                <w:sz w:val="24"/>
              </w:rPr>
              <w:br w:type="textWrapping"/>
            </w:r>
            <w:r>
              <w:rPr>
                <w:sz w:val="24"/>
              </w:rPr>
              <w:t>6.</w:t>
            </w:r>
            <w:r>
              <w:rPr>
                <w:rFonts w:hint="eastAsia"/>
                <w:sz w:val="24"/>
              </w:rPr>
              <w:t>支持院方批量导入题目</w:t>
            </w:r>
            <w:r>
              <w:rPr>
                <w:sz w:val="24"/>
              </w:rPr>
              <w:br w:type="textWrapping"/>
            </w:r>
            <w:r>
              <w:rPr>
                <w:sz w:val="24"/>
              </w:rPr>
              <w:t>7.</w:t>
            </w:r>
            <w:r>
              <w:rPr>
                <w:rFonts w:hint="eastAsia"/>
                <w:sz w:val="24"/>
              </w:rPr>
              <w:t>练习过程答案展示</w:t>
            </w:r>
          </w:p>
        </w:tc>
        <w:tc>
          <w:tcPr>
            <w:tcW w:w="594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sz w:val="24"/>
              </w:rPr>
              <w:t>1.</w:t>
            </w:r>
            <w:r>
              <w:rPr>
                <w:rFonts w:hint="eastAsia"/>
                <w:sz w:val="24"/>
              </w:rPr>
              <w:t>护士碎片化时间打开手机进行练习。</w:t>
            </w:r>
            <w:r>
              <w:rPr>
                <w:sz w:val="24"/>
              </w:rPr>
              <w:br w:type="textWrapping"/>
            </w:r>
            <w:r>
              <w:rPr>
                <w:sz w:val="24"/>
              </w:rPr>
              <w:t>2.</w:t>
            </w:r>
            <w:r>
              <w:rPr>
                <w:rFonts w:hint="eastAsia"/>
                <w:sz w:val="24"/>
              </w:rPr>
              <w:t>解决护士考前复习压力，纸质书籍不便于携带，考试合格率更高。</w:t>
            </w:r>
            <w:r>
              <w:rPr>
                <w:sz w:val="24"/>
              </w:rPr>
              <w:br w:type="textWrapping"/>
            </w:r>
            <w:r>
              <w:rPr>
                <w:sz w:val="24"/>
              </w:rPr>
              <w:t>3.</w:t>
            </w:r>
            <w:r>
              <w:rPr>
                <w:rFonts w:hint="eastAsia"/>
                <w:sz w:val="24"/>
              </w:rPr>
              <w:t>智能化算法出题，优先练习没有练习过的题目，其次是练习答错的题目，可能会答错的题目。</w:t>
            </w:r>
            <w:r>
              <w:rPr>
                <w:sz w:val="24"/>
              </w:rPr>
              <w:br w:type="textWrapping"/>
            </w:r>
            <w:r>
              <w:rPr>
                <w:sz w:val="24"/>
              </w:rPr>
              <w:t>4.</w:t>
            </w:r>
            <w:r>
              <w:rPr>
                <w:rFonts w:hint="eastAsia"/>
                <w:sz w:val="24"/>
              </w:rPr>
              <w:t>系统自带数十万道，</w:t>
            </w:r>
            <w:r>
              <w:rPr>
                <w:sz w:val="24"/>
              </w:rPr>
              <w:t>500</w:t>
            </w:r>
            <w:r>
              <w:rPr>
                <w:rFonts w:hint="eastAsia"/>
                <w:sz w:val="24"/>
              </w:rPr>
              <w:t>多家三级、二级、综合、专科等医院的护理题目，覆盖面广。</w:t>
            </w:r>
          </w:p>
        </w:tc>
      </w:tr>
      <w:tr>
        <w:tblPrEx>
          <w:tblCellMar>
            <w:top w:w="0" w:type="dxa"/>
            <w:left w:w="108" w:type="dxa"/>
            <w:bottom w:w="0" w:type="dxa"/>
            <w:right w:w="108" w:type="dxa"/>
          </w:tblCellMar>
        </w:tblPrEx>
        <w:tc>
          <w:tcPr>
            <w:tcW w:w="108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rFonts w:hint="eastAsia"/>
                <w:sz w:val="24"/>
              </w:rPr>
              <w:t>视频学习</w:t>
            </w:r>
          </w:p>
        </w:tc>
        <w:tc>
          <w:tcPr>
            <w:tcW w:w="330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sz w:val="24"/>
              </w:rPr>
              <w:t>1.</w:t>
            </w:r>
            <w:r>
              <w:rPr>
                <w:rFonts w:hint="eastAsia"/>
                <w:sz w:val="24"/>
              </w:rPr>
              <w:t>查看与自己相关的视频课件</w:t>
            </w:r>
            <w:r>
              <w:rPr>
                <w:sz w:val="24"/>
              </w:rPr>
              <w:br w:type="textWrapping"/>
            </w:r>
            <w:r>
              <w:rPr>
                <w:sz w:val="24"/>
              </w:rPr>
              <w:t>2.</w:t>
            </w:r>
            <w:r>
              <w:rPr>
                <w:rFonts w:hint="eastAsia"/>
                <w:sz w:val="24"/>
              </w:rPr>
              <w:t>视频观看进度记录</w:t>
            </w:r>
            <w:r>
              <w:rPr>
                <w:sz w:val="24"/>
              </w:rPr>
              <w:br w:type="textWrapping"/>
            </w:r>
            <w:r>
              <w:rPr>
                <w:rFonts w:hint="eastAsia"/>
                <w:sz w:val="24"/>
              </w:rPr>
              <w:t>▲</w:t>
            </w:r>
            <w:r>
              <w:rPr>
                <w:sz w:val="24"/>
              </w:rPr>
              <w:t>3.</w:t>
            </w:r>
            <w:r>
              <w:rPr>
                <w:rFonts w:hint="eastAsia"/>
                <w:sz w:val="24"/>
              </w:rPr>
              <w:t>观看过程跳出题目</w:t>
            </w:r>
            <w:r>
              <w:rPr>
                <w:sz w:val="24"/>
              </w:rPr>
              <w:br w:type="textWrapping"/>
            </w:r>
            <w:r>
              <w:rPr>
                <w:rFonts w:hint="eastAsia"/>
                <w:sz w:val="24"/>
              </w:rPr>
              <w:t>▲</w:t>
            </w:r>
            <w:r>
              <w:rPr>
                <w:sz w:val="24"/>
              </w:rPr>
              <w:t>4.</w:t>
            </w:r>
            <w:r>
              <w:rPr>
                <w:rFonts w:hint="eastAsia"/>
                <w:sz w:val="24"/>
              </w:rPr>
              <w:t>课后评测</w:t>
            </w:r>
          </w:p>
        </w:tc>
        <w:tc>
          <w:tcPr>
            <w:tcW w:w="594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sz w:val="24"/>
              </w:rPr>
              <w:t>1.</w:t>
            </w:r>
            <w:r>
              <w:rPr>
                <w:rFonts w:hint="eastAsia"/>
                <w:sz w:val="24"/>
              </w:rPr>
              <w:t>实习护士、新护士、轮转护士更方便的学习实操、理论相关的视频课件。</w:t>
            </w:r>
            <w:r>
              <w:rPr>
                <w:sz w:val="24"/>
              </w:rPr>
              <w:br w:type="textWrapping"/>
            </w:r>
            <w:r>
              <w:rPr>
                <w:sz w:val="24"/>
              </w:rPr>
              <w:t>2.</w:t>
            </w:r>
            <w:r>
              <w:rPr>
                <w:rFonts w:hint="eastAsia"/>
                <w:sz w:val="24"/>
              </w:rPr>
              <w:t>观看过程跳出问答，不回答无法继续观看，防止护士自动播放不观看。</w:t>
            </w:r>
            <w:r>
              <w:rPr>
                <w:sz w:val="24"/>
              </w:rPr>
              <w:br w:type="textWrapping"/>
            </w:r>
            <w:r>
              <w:rPr>
                <w:sz w:val="24"/>
              </w:rPr>
              <w:t>3.</w:t>
            </w:r>
            <w:r>
              <w:rPr>
                <w:rFonts w:hint="eastAsia"/>
                <w:sz w:val="24"/>
              </w:rPr>
              <w:t>课后测试，保证视频学习质量。</w:t>
            </w:r>
          </w:p>
        </w:tc>
      </w:tr>
      <w:tr>
        <w:tblPrEx>
          <w:tblCellMar>
            <w:top w:w="0" w:type="dxa"/>
            <w:left w:w="108" w:type="dxa"/>
            <w:bottom w:w="0" w:type="dxa"/>
            <w:right w:w="108" w:type="dxa"/>
          </w:tblCellMar>
        </w:tblPrEx>
        <w:tc>
          <w:tcPr>
            <w:tcW w:w="108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rFonts w:hint="eastAsia"/>
                <w:sz w:val="24"/>
              </w:rPr>
              <w:t>学分管理</w:t>
            </w:r>
          </w:p>
        </w:tc>
        <w:tc>
          <w:tcPr>
            <w:tcW w:w="330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sz w:val="24"/>
              </w:rPr>
              <w:t>1.</w:t>
            </w:r>
            <w:r>
              <w:rPr>
                <w:rFonts w:hint="eastAsia"/>
                <w:sz w:val="24"/>
              </w:rPr>
              <w:t>查看学分</w:t>
            </w:r>
            <w:r>
              <w:rPr>
                <w:sz w:val="24"/>
              </w:rPr>
              <w:br w:type="textWrapping"/>
            </w:r>
            <w:r>
              <w:rPr>
                <w:sz w:val="24"/>
              </w:rPr>
              <w:t>2.</w:t>
            </w:r>
            <w:r>
              <w:rPr>
                <w:rFonts w:hint="eastAsia"/>
                <w:sz w:val="24"/>
              </w:rPr>
              <w:t>查看学分来源明细</w:t>
            </w:r>
            <w:r>
              <w:rPr>
                <w:sz w:val="24"/>
              </w:rPr>
              <w:br w:type="textWrapping"/>
            </w:r>
            <w:r>
              <w:rPr>
                <w:rFonts w:hint="eastAsia"/>
                <w:sz w:val="24"/>
              </w:rPr>
              <w:t>▲</w:t>
            </w:r>
            <w:r>
              <w:rPr>
                <w:sz w:val="24"/>
              </w:rPr>
              <w:t>3.</w:t>
            </w:r>
            <w:r>
              <w:rPr>
                <w:rFonts w:hint="eastAsia"/>
                <w:sz w:val="24"/>
              </w:rPr>
              <w:t>提示还差多少学分</w:t>
            </w:r>
            <w:r>
              <w:rPr>
                <w:sz w:val="24"/>
              </w:rPr>
              <w:br w:type="textWrapping"/>
            </w:r>
            <w:r>
              <w:rPr>
                <w:sz w:val="24"/>
              </w:rPr>
              <w:t>4.</w:t>
            </w:r>
            <w:r>
              <w:rPr>
                <w:rFonts w:hint="eastAsia"/>
                <w:sz w:val="24"/>
              </w:rPr>
              <w:t>获取学分方式</w:t>
            </w:r>
          </w:p>
        </w:tc>
        <w:tc>
          <w:tcPr>
            <w:tcW w:w="594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sz w:val="24"/>
              </w:rPr>
              <w:t>1.</w:t>
            </w:r>
            <w:r>
              <w:rPr>
                <w:rFonts w:hint="eastAsia"/>
                <w:sz w:val="24"/>
              </w:rPr>
              <w:t>方便的让护士知道自己的学分情况。</w:t>
            </w:r>
            <w:r>
              <w:rPr>
                <w:sz w:val="24"/>
              </w:rPr>
              <w:br w:type="textWrapping"/>
            </w:r>
            <w:r>
              <w:rPr>
                <w:sz w:val="24"/>
              </w:rPr>
              <w:t>2.</w:t>
            </w:r>
            <w:r>
              <w:rPr>
                <w:rFonts w:hint="eastAsia"/>
                <w:sz w:val="24"/>
              </w:rPr>
              <w:t>学分与教学计划的结合，更加人性化的让护士了解到还有哪些培训可以获取学分，护士根据自身情况安排参与，避免年底学分未满足。</w:t>
            </w:r>
            <w:r>
              <w:rPr>
                <w:sz w:val="24"/>
              </w:rPr>
              <w:br w:type="textWrapping"/>
            </w:r>
            <w:r>
              <w:rPr>
                <w:sz w:val="24"/>
              </w:rPr>
              <w:t>3.</w:t>
            </w:r>
            <w:r>
              <w:rPr>
                <w:rFonts w:hint="eastAsia"/>
                <w:sz w:val="24"/>
              </w:rPr>
              <w:t>避免护理部统计学分不准确。</w:t>
            </w:r>
          </w:p>
        </w:tc>
      </w:tr>
      <w:tr>
        <w:tblPrEx>
          <w:tblCellMar>
            <w:top w:w="0" w:type="dxa"/>
            <w:left w:w="108" w:type="dxa"/>
            <w:bottom w:w="0" w:type="dxa"/>
            <w:right w:w="108" w:type="dxa"/>
          </w:tblCellMar>
        </w:tblPrEx>
        <w:tc>
          <w:tcPr>
            <w:tcW w:w="108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rFonts w:hint="eastAsia"/>
                <w:sz w:val="24"/>
              </w:rPr>
              <w:t>学习计划</w:t>
            </w:r>
          </w:p>
        </w:tc>
        <w:tc>
          <w:tcPr>
            <w:tcW w:w="330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sz w:val="24"/>
              </w:rPr>
              <w:t>1.</w:t>
            </w:r>
            <w:r>
              <w:rPr>
                <w:rFonts w:hint="eastAsia"/>
                <w:sz w:val="24"/>
              </w:rPr>
              <w:t>手机端查看学习计划</w:t>
            </w:r>
            <w:r>
              <w:rPr>
                <w:sz w:val="24"/>
              </w:rPr>
              <w:br w:type="textWrapping"/>
            </w:r>
            <w:r>
              <w:rPr>
                <w:sz w:val="24"/>
              </w:rPr>
              <w:t>2.</w:t>
            </w:r>
            <w:r>
              <w:rPr>
                <w:rFonts w:hint="eastAsia"/>
                <w:sz w:val="24"/>
              </w:rPr>
              <w:t>查看与自己相关的学习计划</w:t>
            </w:r>
          </w:p>
        </w:tc>
        <w:tc>
          <w:tcPr>
            <w:tcW w:w="594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sz w:val="24"/>
              </w:rPr>
              <w:t>1.</w:t>
            </w:r>
            <w:r>
              <w:rPr>
                <w:rFonts w:hint="eastAsia"/>
                <w:sz w:val="24"/>
              </w:rPr>
              <w:t>方便护士了解还有哪些培训需要参加，根据自己的时间提前安排好事项。</w:t>
            </w:r>
            <w:r>
              <w:rPr>
                <w:sz w:val="24"/>
              </w:rPr>
              <w:br w:type="textWrapping"/>
            </w:r>
            <w:r>
              <w:rPr>
                <w:sz w:val="24"/>
              </w:rPr>
              <w:t>2.</w:t>
            </w:r>
            <w:r>
              <w:rPr>
                <w:rFonts w:hint="eastAsia"/>
                <w:sz w:val="24"/>
              </w:rPr>
              <w:t>管理者后台编辑好教学计划，护手手机端</w:t>
            </w:r>
            <w:r>
              <w:rPr>
                <w:sz w:val="24"/>
              </w:rPr>
              <w:t>app</w:t>
            </w:r>
            <w:r>
              <w:rPr>
                <w:rFonts w:hint="eastAsia"/>
                <w:sz w:val="24"/>
              </w:rPr>
              <w:t>可以查看。</w:t>
            </w:r>
          </w:p>
        </w:tc>
      </w:tr>
      <w:tr>
        <w:tblPrEx>
          <w:tblCellMar>
            <w:top w:w="0" w:type="dxa"/>
            <w:left w:w="108" w:type="dxa"/>
            <w:bottom w:w="0" w:type="dxa"/>
            <w:right w:w="108" w:type="dxa"/>
          </w:tblCellMar>
        </w:tblPrEx>
        <w:tc>
          <w:tcPr>
            <w:tcW w:w="108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rFonts w:hint="eastAsia"/>
                <w:sz w:val="24"/>
              </w:rPr>
              <w:t>院内通知</w:t>
            </w:r>
          </w:p>
        </w:tc>
        <w:tc>
          <w:tcPr>
            <w:tcW w:w="330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sz w:val="24"/>
              </w:rPr>
              <w:t>1.App</w:t>
            </w:r>
            <w:r>
              <w:rPr>
                <w:rFonts w:hint="eastAsia"/>
                <w:sz w:val="24"/>
              </w:rPr>
              <w:t>端查通知</w:t>
            </w:r>
            <w:r>
              <w:rPr>
                <w:sz w:val="24"/>
              </w:rPr>
              <w:br w:type="textWrapping"/>
            </w:r>
            <w:r>
              <w:rPr>
                <w:sz w:val="24"/>
              </w:rPr>
              <w:t>2.</w:t>
            </w:r>
            <w:r>
              <w:rPr>
                <w:rFonts w:hint="eastAsia"/>
                <w:sz w:val="24"/>
              </w:rPr>
              <w:t>查看通知中的附件</w:t>
            </w:r>
            <w:r>
              <w:rPr>
                <w:sz w:val="24"/>
              </w:rPr>
              <w:br w:type="textWrapping"/>
            </w:r>
            <w:r>
              <w:rPr>
                <w:sz w:val="24"/>
              </w:rPr>
              <w:t>3.</w:t>
            </w:r>
            <w:r>
              <w:rPr>
                <w:rFonts w:hint="eastAsia"/>
                <w:sz w:val="24"/>
              </w:rPr>
              <w:t>查看后显示已阅读</w:t>
            </w:r>
            <w:r>
              <w:rPr>
                <w:sz w:val="24"/>
              </w:rPr>
              <w:br w:type="textWrapping"/>
            </w:r>
            <w:r>
              <w:rPr>
                <w:sz w:val="24"/>
              </w:rPr>
              <w:t>4.</w:t>
            </w:r>
            <w:r>
              <w:rPr>
                <w:rFonts w:hint="eastAsia"/>
                <w:sz w:val="24"/>
              </w:rPr>
              <w:t>未点击显示未查看</w:t>
            </w:r>
          </w:p>
        </w:tc>
        <w:tc>
          <w:tcPr>
            <w:tcW w:w="594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sz w:val="24"/>
              </w:rPr>
              <w:t>1.</w:t>
            </w:r>
            <w:r>
              <w:rPr>
                <w:rFonts w:hint="eastAsia"/>
                <w:sz w:val="24"/>
              </w:rPr>
              <w:t>保证点对点通知到个人</w:t>
            </w:r>
            <w:r>
              <w:rPr>
                <w:sz w:val="24"/>
              </w:rPr>
              <w:br w:type="textWrapping"/>
            </w:r>
            <w:r>
              <w:rPr>
                <w:sz w:val="24"/>
              </w:rPr>
              <w:t>2.</w:t>
            </w:r>
            <w:r>
              <w:rPr>
                <w:rFonts w:hint="eastAsia"/>
                <w:sz w:val="24"/>
              </w:rPr>
              <w:t>内容可添加附件，更完整表达通知内容</w:t>
            </w:r>
            <w:r>
              <w:rPr>
                <w:sz w:val="24"/>
              </w:rPr>
              <w:br w:type="textWrapping"/>
            </w:r>
            <w:r>
              <w:rPr>
                <w:sz w:val="24"/>
              </w:rPr>
              <w:t>3.</w:t>
            </w:r>
            <w:r>
              <w:rPr>
                <w:rFonts w:hint="eastAsia"/>
                <w:sz w:val="24"/>
              </w:rPr>
              <w:t>护士没有点击查看，后台可以统计。</w:t>
            </w:r>
          </w:p>
        </w:tc>
      </w:tr>
    </w:tbl>
    <w:p>
      <w:pPr>
        <w:pStyle w:val="6"/>
        <w:jc w:val="both"/>
        <w:rPr>
          <w:sz w:val="24"/>
        </w:rPr>
      </w:pPr>
      <w:r>
        <w:rPr>
          <w:rFonts w:hint="eastAsia"/>
          <w:sz w:val="24"/>
        </w:rPr>
        <w:t>微信端（护理助手公众号）：</w:t>
      </w:r>
    </w:p>
    <w:tbl>
      <w:tblPr>
        <w:tblStyle w:val="47"/>
        <w:tblW w:w="10275" w:type="dxa"/>
        <w:tblInd w:w="-1101" w:type="dxa"/>
        <w:tblLayout w:type="fixed"/>
        <w:tblCellMar>
          <w:top w:w="0" w:type="dxa"/>
          <w:left w:w="108" w:type="dxa"/>
          <w:bottom w:w="0" w:type="dxa"/>
          <w:right w:w="108" w:type="dxa"/>
        </w:tblCellMar>
      </w:tblPr>
      <w:tblGrid>
        <w:gridCol w:w="1095"/>
        <w:gridCol w:w="3120"/>
        <w:gridCol w:w="6060"/>
      </w:tblGrid>
      <w:tr>
        <w:tblPrEx>
          <w:tblCellMar>
            <w:top w:w="0" w:type="dxa"/>
            <w:left w:w="108" w:type="dxa"/>
            <w:bottom w:w="0" w:type="dxa"/>
            <w:right w:w="108" w:type="dxa"/>
          </w:tblCellMar>
        </w:tblPrEx>
        <w:trPr>
          <w:trHeight w:val="450" w:hRule="atLeast"/>
          <w:tblHeader/>
        </w:trPr>
        <w:tc>
          <w:tcPr>
            <w:tcW w:w="1095" w:type="dxa"/>
            <w:tcBorders>
              <w:top w:val="single" w:color="CCCCCC" w:sz="6" w:space="0"/>
              <w:left w:val="single" w:color="CCCCCC" w:sz="6" w:space="0"/>
              <w:bottom w:val="single" w:color="CCCCCC" w:sz="6" w:space="0"/>
              <w:right w:val="single" w:color="CCCCCC" w:sz="6" w:space="0"/>
            </w:tcBorders>
            <w:shd w:val="clear" w:color="auto" w:fill="F9F9F9"/>
            <w:tcMar>
              <w:top w:w="30" w:type="dxa"/>
              <w:left w:w="60" w:type="dxa"/>
              <w:bottom w:w="30" w:type="dxa"/>
              <w:right w:w="60" w:type="dxa"/>
            </w:tcMar>
          </w:tcPr>
          <w:p>
            <w:pPr>
              <w:spacing w:before="225" w:after="225"/>
              <w:rPr>
                <w:b/>
                <w:bCs/>
                <w:sz w:val="24"/>
              </w:rPr>
            </w:pPr>
            <w:r>
              <w:rPr>
                <w:rFonts w:hint="eastAsia"/>
                <w:b/>
                <w:bCs/>
                <w:sz w:val="24"/>
              </w:rPr>
              <w:t>模块</w:t>
            </w:r>
          </w:p>
        </w:tc>
        <w:tc>
          <w:tcPr>
            <w:tcW w:w="3120" w:type="dxa"/>
            <w:tcBorders>
              <w:top w:val="single" w:color="CCCCCC" w:sz="6" w:space="0"/>
              <w:left w:val="single" w:color="CCCCCC" w:sz="6" w:space="0"/>
              <w:bottom w:val="single" w:color="CCCCCC" w:sz="6" w:space="0"/>
              <w:right w:val="single" w:color="CCCCCC" w:sz="6" w:space="0"/>
            </w:tcBorders>
            <w:shd w:val="clear" w:color="auto" w:fill="F9F9F9"/>
            <w:tcMar>
              <w:top w:w="30" w:type="dxa"/>
              <w:left w:w="60" w:type="dxa"/>
              <w:bottom w:w="30" w:type="dxa"/>
              <w:right w:w="60" w:type="dxa"/>
            </w:tcMar>
          </w:tcPr>
          <w:p>
            <w:pPr>
              <w:spacing w:before="225" w:after="225"/>
              <w:rPr>
                <w:b/>
                <w:bCs/>
                <w:sz w:val="24"/>
              </w:rPr>
            </w:pPr>
            <w:r>
              <w:rPr>
                <w:rFonts w:hint="eastAsia"/>
                <w:b/>
                <w:bCs/>
                <w:sz w:val="24"/>
              </w:rPr>
              <w:t>功能点</w:t>
            </w:r>
          </w:p>
        </w:tc>
        <w:tc>
          <w:tcPr>
            <w:tcW w:w="6060" w:type="dxa"/>
            <w:tcBorders>
              <w:top w:val="single" w:color="CCCCCC" w:sz="6" w:space="0"/>
              <w:left w:val="single" w:color="CCCCCC" w:sz="6" w:space="0"/>
              <w:bottom w:val="single" w:color="CCCCCC" w:sz="6" w:space="0"/>
              <w:right w:val="single" w:color="CCCCCC" w:sz="6" w:space="0"/>
            </w:tcBorders>
            <w:shd w:val="clear" w:color="auto" w:fill="F9F9F9"/>
            <w:tcMar>
              <w:top w:w="30" w:type="dxa"/>
              <w:left w:w="60" w:type="dxa"/>
              <w:bottom w:w="30" w:type="dxa"/>
              <w:right w:w="60" w:type="dxa"/>
            </w:tcMar>
          </w:tcPr>
          <w:p>
            <w:pPr>
              <w:spacing w:before="225" w:after="225"/>
              <w:rPr>
                <w:b/>
                <w:bCs/>
                <w:sz w:val="24"/>
              </w:rPr>
            </w:pPr>
            <w:r>
              <w:rPr>
                <w:rFonts w:hint="eastAsia"/>
                <w:b/>
                <w:bCs/>
                <w:sz w:val="24"/>
              </w:rPr>
              <w:t>说明</w:t>
            </w:r>
          </w:p>
        </w:tc>
      </w:tr>
      <w:tr>
        <w:tblPrEx>
          <w:tblCellMar>
            <w:top w:w="0" w:type="dxa"/>
            <w:left w:w="108" w:type="dxa"/>
            <w:bottom w:w="0" w:type="dxa"/>
            <w:right w:w="108" w:type="dxa"/>
          </w:tblCellMar>
        </w:tblPrEx>
        <w:trPr>
          <w:trHeight w:val="450" w:hRule="atLeast"/>
        </w:trPr>
        <w:tc>
          <w:tcPr>
            <w:tcW w:w="1095"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rFonts w:hint="eastAsia"/>
                <w:sz w:val="24"/>
              </w:rPr>
              <w:t>个人信息</w:t>
            </w:r>
          </w:p>
        </w:tc>
        <w:tc>
          <w:tcPr>
            <w:tcW w:w="312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sz w:val="24"/>
              </w:rPr>
              <w:t>1.</w:t>
            </w:r>
            <w:r>
              <w:rPr>
                <w:rFonts w:hint="eastAsia"/>
                <w:sz w:val="24"/>
              </w:rPr>
              <w:t>能级、职称、职务等信息标准化选择</w:t>
            </w:r>
          </w:p>
        </w:tc>
        <w:tc>
          <w:tcPr>
            <w:tcW w:w="606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sz w:val="24"/>
              </w:rPr>
              <w:t>1.</w:t>
            </w:r>
            <w:r>
              <w:rPr>
                <w:rFonts w:hint="eastAsia"/>
                <w:sz w:val="24"/>
              </w:rPr>
              <w:t>随时修改自己的信息，由上级进行审核才可修改通过。</w:t>
            </w:r>
            <w:r>
              <w:rPr>
                <w:sz w:val="24"/>
              </w:rPr>
              <w:br w:type="textWrapping"/>
            </w:r>
            <w:r>
              <w:rPr>
                <w:sz w:val="24"/>
              </w:rPr>
              <w:t>2.</w:t>
            </w:r>
            <w:r>
              <w:rPr>
                <w:rFonts w:hint="eastAsia"/>
                <w:sz w:val="24"/>
              </w:rPr>
              <w:t>重要信息跳过护士长（病区管理员），由护理部审核。</w:t>
            </w:r>
            <w:r>
              <w:rPr>
                <w:sz w:val="24"/>
              </w:rPr>
              <w:br w:type="textWrapping"/>
            </w:r>
            <w:r>
              <w:rPr>
                <w:sz w:val="24"/>
              </w:rPr>
              <w:t>3.</w:t>
            </w:r>
            <w:r>
              <w:rPr>
                <w:rFonts w:hint="eastAsia"/>
                <w:sz w:val="24"/>
              </w:rPr>
              <w:t>便于后期各种活动通知绑定人员时，可一键筛选绑定。</w:t>
            </w:r>
          </w:p>
        </w:tc>
      </w:tr>
      <w:tr>
        <w:tblPrEx>
          <w:tblCellMar>
            <w:top w:w="0" w:type="dxa"/>
            <w:left w:w="108" w:type="dxa"/>
            <w:bottom w:w="0" w:type="dxa"/>
            <w:right w:w="108" w:type="dxa"/>
          </w:tblCellMar>
        </w:tblPrEx>
        <w:trPr>
          <w:trHeight w:val="450" w:hRule="atLeast"/>
        </w:trPr>
        <w:tc>
          <w:tcPr>
            <w:tcW w:w="1095"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rFonts w:hint="eastAsia"/>
                <w:sz w:val="24"/>
              </w:rPr>
              <w:t>▲人员加入</w:t>
            </w:r>
          </w:p>
        </w:tc>
        <w:tc>
          <w:tcPr>
            <w:tcW w:w="312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sz w:val="24"/>
              </w:rPr>
              <w:t>1.</w:t>
            </w:r>
            <w:r>
              <w:rPr>
                <w:rFonts w:hint="eastAsia"/>
                <w:sz w:val="24"/>
              </w:rPr>
              <w:t>扫码加入医院及病区</w:t>
            </w:r>
            <w:r>
              <w:rPr>
                <w:sz w:val="24"/>
              </w:rPr>
              <w:br w:type="textWrapping"/>
            </w:r>
            <w:r>
              <w:rPr>
                <w:sz w:val="24"/>
              </w:rPr>
              <w:t>2.</w:t>
            </w:r>
            <w:r>
              <w:rPr>
                <w:rFonts w:hint="eastAsia"/>
                <w:sz w:val="24"/>
              </w:rPr>
              <w:t>层层审核机制</w:t>
            </w:r>
            <w:r>
              <w:rPr>
                <w:sz w:val="24"/>
              </w:rPr>
              <w:br w:type="textWrapping"/>
            </w:r>
            <w:r>
              <w:rPr>
                <w:sz w:val="24"/>
              </w:rPr>
              <w:t>3.</w:t>
            </w:r>
            <w:r>
              <w:rPr>
                <w:rFonts w:hint="eastAsia"/>
                <w:sz w:val="24"/>
              </w:rPr>
              <w:t>微信端加入方便快捷</w:t>
            </w:r>
            <w:r>
              <w:rPr>
                <w:sz w:val="24"/>
              </w:rPr>
              <w:br w:type="textWrapping"/>
            </w:r>
            <w:r>
              <w:rPr>
                <w:sz w:val="24"/>
              </w:rPr>
              <w:t>4.</w:t>
            </w:r>
            <w:r>
              <w:rPr>
                <w:rFonts w:hint="eastAsia"/>
                <w:sz w:val="24"/>
              </w:rPr>
              <w:t>封闭式管理人员</w:t>
            </w:r>
            <w:r>
              <w:rPr>
                <w:sz w:val="24"/>
              </w:rPr>
              <w:br w:type="textWrapping"/>
            </w:r>
            <w:r>
              <w:rPr>
                <w:sz w:val="24"/>
              </w:rPr>
              <w:t>5.</w:t>
            </w:r>
            <w:r>
              <w:rPr>
                <w:rFonts w:hint="eastAsia"/>
                <w:sz w:val="24"/>
              </w:rPr>
              <w:t>管理员微信端管理人员</w:t>
            </w:r>
          </w:p>
        </w:tc>
        <w:tc>
          <w:tcPr>
            <w:tcW w:w="606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sz w:val="24"/>
              </w:rPr>
              <w:t>1.</w:t>
            </w:r>
            <w:r>
              <w:rPr>
                <w:rFonts w:hint="eastAsia"/>
                <w:sz w:val="24"/>
              </w:rPr>
              <w:t>封闭式人员加入系统，每个医院单独二维码。</w:t>
            </w:r>
            <w:r>
              <w:rPr>
                <w:sz w:val="24"/>
              </w:rPr>
              <w:br w:type="textWrapping"/>
            </w:r>
            <w:r>
              <w:rPr>
                <w:sz w:val="24"/>
              </w:rPr>
              <w:t>2.</w:t>
            </w:r>
            <w:r>
              <w:rPr>
                <w:rFonts w:hint="eastAsia"/>
                <w:sz w:val="24"/>
              </w:rPr>
              <w:t>病区护士长、护理部最高管理员层层审核，全程自动化，确保外院人员不可进入。</w:t>
            </w:r>
            <w:r>
              <w:rPr>
                <w:sz w:val="24"/>
              </w:rPr>
              <w:br w:type="textWrapping"/>
            </w:r>
            <w:r>
              <w:rPr>
                <w:sz w:val="24"/>
              </w:rPr>
              <w:t>3.</w:t>
            </w:r>
            <w:r>
              <w:rPr>
                <w:rFonts w:hint="eastAsia"/>
                <w:sz w:val="24"/>
              </w:rPr>
              <w:t>微信端随时管理护士信息，删除、修改等。</w:t>
            </w:r>
          </w:p>
        </w:tc>
      </w:tr>
      <w:tr>
        <w:tblPrEx>
          <w:tblCellMar>
            <w:top w:w="0" w:type="dxa"/>
            <w:left w:w="108" w:type="dxa"/>
            <w:bottom w:w="0" w:type="dxa"/>
            <w:right w:w="108" w:type="dxa"/>
          </w:tblCellMar>
        </w:tblPrEx>
        <w:trPr>
          <w:trHeight w:val="450" w:hRule="atLeast"/>
        </w:trPr>
        <w:tc>
          <w:tcPr>
            <w:tcW w:w="1095"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rFonts w:hint="eastAsia"/>
                <w:sz w:val="24"/>
              </w:rPr>
              <w:t>▲软件指导</w:t>
            </w:r>
          </w:p>
        </w:tc>
        <w:tc>
          <w:tcPr>
            <w:tcW w:w="312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sz w:val="24"/>
              </w:rPr>
              <w:t>1.</w:t>
            </w:r>
            <w:r>
              <w:rPr>
                <w:rFonts w:hint="eastAsia"/>
                <w:sz w:val="24"/>
              </w:rPr>
              <w:t>护士微信端查看软件指导</w:t>
            </w:r>
            <w:r>
              <w:rPr>
                <w:sz w:val="24"/>
              </w:rPr>
              <w:br w:type="textWrapping"/>
            </w:r>
            <w:r>
              <w:rPr>
                <w:sz w:val="24"/>
              </w:rPr>
              <w:t>2.</w:t>
            </w:r>
            <w:r>
              <w:rPr>
                <w:rFonts w:hint="eastAsia"/>
                <w:sz w:val="24"/>
              </w:rPr>
              <w:t>管理员微信端查看软件指导</w:t>
            </w:r>
          </w:p>
        </w:tc>
        <w:tc>
          <w:tcPr>
            <w:tcW w:w="606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sz w:val="24"/>
              </w:rPr>
              <w:t>1.</w:t>
            </w:r>
            <w:r>
              <w:rPr>
                <w:rFonts w:hint="eastAsia"/>
                <w:sz w:val="24"/>
              </w:rPr>
              <w:t>微信端附有软件操作，避免护士出现操作问题无人解答。</w:t>
            </w:r>
            <w:r>
              <w:rPr>
                <w:sz w:val="24"/>
              </w:rPr>
              <w:br w:type="textWrapping"/>
            </w:r>
            <w:r>
              <w:rPr>
                <w:sz w:val="24"/>
              </w:rPr>
              <w:t>2.</w:t>
            </w:r>
            <w:r>
              <w:rPr>
                <w:rFonts w:hint="eastAsia"/>
                <w:sz w:val="24"/>
              </w:rPr>
              <w:t>管理员也有软件操作指导，包括了管理员对电脑端后台使用的操作指导。</w:t>
            </w:r>
            <w:r>
              <w:rPr>
                <w:sz w:val="24"/>
              </w:rPr>
              <w:br w:type="textWrapping"/>
            </w:r>
            <w:r>
              <w:rPr>
                <w:sz w:val="24"/>
              </w:rPr>
              <w:t>3.</w:t>
            </w:r>
            <w:r>
              <w:rPr>
                <w:rFonts w:hint="eastAsia"/>
                <w:sz w:val="24"/>
              </w:rPr>
              <w:t>真正的全方位无障碍使用软件。</w:t>
            </w:r>
          </w:p>
        </w:tc>
      </w:tr>
      <w:tr>
        <w:tblPrEx>
          <w:tblCellMar>
            <w:top w:w="0" w:type="dxa"/>
            <w:left w:w="108" w:type="dxa"/>
            <w:bottom w:w="0" w:type="dxa"/>
            <w:right w:w="108" w:type="dxa"/>
          </w:tblCellMar>
        </w:tblPrEx>
        <w:trPr>
          <w:trHeight w:val="450" w:hRule="atLeast"/>
        </w:trPr>
        <w:tc>
          <w:tcPr>
            <w:tcW w:w="1095"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rFonts w:hint="eastAsia"/>
                <w:sz w:val="24"/>
              </w:rPr>
              <w:t>院内通知</w:t>
            </w:r>
          </w:p>
        </w:tc>
        <w:tc>
          <w:tcPr>
            <w:tcW w:w="312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sz w:val="24"/>
              </w:rPr>
              <w:t>1.</w:t>
            </w:r>
            <w:r>
              <w:rPr>
                <w:rFonts w:hint="eastAsia"/>
                <w:sz w:val="24"/>
              </w:rPr>
              <w:t>微信端接收通知</w:t>
            </w:r>
            <w:r>
              <w:rPr>
                <w:sz w:val="24"/>
              </w:rPr>
              <w:br w:type="textWrapping"/>
            </w:r>
            <w:r>
              <w:rPr>
                <w:sz w:val="24"/>
              </w:rPr>
              <w:t>2.</w:t>
            </w:r>
            <w:r>
              <w:rPr>
                <w:rFonts w:hint="eastAsia"/>
                <w:sz w:val="24"/>
              </w:rPr>
              <w:t>详情进入</w:t>
            </w:r>
            <w:r>
              <w:rPr>
                <w:sz w:val="24"/>
              </w:rPr>
              <w:t>app</w:t>
            </w:r>
            <w:r>
              <w:rPr>
                <w:rFonts w:hint="eastAsia"/>
                <w:sz w:val="24"/>
              </w:rPr>
              <w:t>端查看</w:t>
            </w:r>
          </w:p>
        </w:tc>
        <w:tc>
          <w:tcPr>
            <w:tcW w:w="606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sz w:val="24"/>
              </w:rPr>
              <w:t>1.</w:t>
            </w:r>
            <w:r>
              <w:rPr>
                <w:rFonts w:hint="eastAsia"/>
                <w:sz w:val="24"/>
              </w:rPr>
              <w:t>通过公众号发送院内通知：培训、考试、练习等。</w:t>
            </w:r>
            <w:r>
              <w:rPr>
                <w:sz w:val="24"/>
              </w:rPr>
              <w:br w:type="textWrapping"/>
            </w:r>
            <w:r>
              <w:rPr>
                <w:sz w:val="24"/>
              </w:rPr>
              <w:t>2.</w:t>
            </w:r>
            <w:r>
              <w:rPr>
                <w:rFonts w:hint="eastAsia"/>
                <w:sz w:val="24"/>
              </w:rPr>
              <w:t>详细内容提示护士到</w:t>
            </w:r>
            <w:r>
              <w:rPr>
                <w:sz w:val="24"/>
              </w:rPr>
              <w:t>app</w:t>
            </w:r>
            <w:r>
              <w:rPr>
                <w:rFonts w:hint="eastAsia"/>
                <w:sz w:val="24"/>
              </w:rPr>
              <w:t>查看，公众号不显示具体内容，以免护士到</w:t>
            </w:r>
            <w:r>
              <w:rPr>
                <w:sz w:val="24"/>
              </w:rPr>
              <w:t>app</w:t>
            </w:r>
            <w:r>
              <w:rPr>
                <w:rFonts w:hint="eastAsia"/>
                <w:sz w:val="24"/>
              </w:rPr>
              <w:t>端查看，确认获取护士是否查看通知监控数据。</w:t>
            </w:r>
          </w:p>
        </w:tc>
      </w:tr>
    </w:tbl>
    <w:p>
      <w:pPr>
        <w:pStyle w:val="6"/>
        <w:jc w:val="both"/>
        <w:rPr>
          <w:sz w:val="24"/>
        </w:rPr>
      </w:pPr>
      <w:r>
        <w:rPr>
          <w:rFonts w:hint="eastAsia"/>
          <w:sz w:val="24"/>
        </w:rPr>
        <w:t>电脑端后台（管理员）：</w:t>
      </w:r>
    </w:p>
    <w:tbl>
      <w:tblPr>
        <w:tblStyle w:val="47"/>
        <w:tblW w:w="10230" w:type="dxa"/>
        <w:tblInd w:w="-1071" w:type="dxa"/>
        <w:tblLayout w:type="fixed"/>
        <w:tblCellMar>
          <w:top w:w="0" w:type="dxa"/>
          <w:left w:w="108" w:type="dxa"/>
          <w:bottom w:w="0" w:type="dxa"/>
          <w:right w:w="108" w:type="dxa"/>
        </w:tblCellMar>
      </w:tblPr>
      <w:tblGrid>
        <w:gridCol w:w="1080"/>
        <w:gridCol w:w="3105"/>
        <w:gridCol w:w="6045"/>
      </w:tblGrid>
      <w:tr>
        <w:tblPrEx>
          <w:tblCellMar>
            <w:top w:w="0" w:type="dxa"/>
            <w:left w:w="108" w:type="dxa"/>
            <w:bottom w:w="0" w:type="dxa"/>
            <w:right w:w="108" w:type="dxa"/>
          </w:tblCellMar>
        </w:tblPrEx>
        <w:trPr>
          <w:trHeight w:val="450" w:hRule="atLeast"/>
          <w:tblHeader/>
        </w:trPr>
        <w:tc>
          <w:tcPr>
            <w:tcW w:w="1080" w:type="dxa"/>
            <w:tcBorders>
              <w:top w:val="single" w:color="CCCCCC" w:sz="6" w:space="0"/>
              <w:left w:val="single" w:color="CCCCCC" w:sz="6" w:space="0"/>
              <w:bottom w:val="single" w:color="CCCCCC" w:sz="6" w:space="0"/>
              <w:right w:val="single" w:color="CCCCCC" w:sz="6" w:space="0"/>
            </w:tcBorders>
            <w:shd w:val="clear" w:color="auto" w:fill="F9F9F9"/>
            <w:tcMar>
              <w:top w:w="30" w:type="dxa"/>
              <w:left w:w="60" w:type="dxa"/>
              <w:bottom w:w="30" w:type="dxa"/>
              <w:right w:w="60" w:type="dxa"/>
            </w:tcMar>
          </w:tcPr>
          <w:p>
            <w:pPr>
              <w:spacing w:before="225" w:after="225"/>
              <w:rPr>
                <w:b/>
                <w:bCs/>
                <w:sz w:val="24"/>
              </w:rPr>
            </w:pPr>
            <w:r>
              <w:rPr>
                <w:rFonts w:hint="eastAsia"/>
                <w:b/>
                <w:bCs/>
                <w:sz w:val="24"/>
              </w:rPr>
              <w:t>模块</w:t>
            </w:r>
          </w:p>
        </w:tc>
        <w:tc>
          <w:tcPr>
            <w:tcW w:w="3105" w:type="dxa"/>
            <w:tcBorders>
              <w:top w:val="single" w:color="CCCCCC" w:sz="6" w:space="0"/>
              <w:left w:val="single" w:color="CCCCCC" w:sz="6" w:space="0"/>
              <w:bottom w:val="single" w:color="CCCCCC" w:sz="6" w:space="0"/>
              <w:right w:val="single" w:color="CCCCCC" w:sz="6" w:space="0"/>
            </w:tcBorders>
            <w:shd w:val="clear" w:color="auto" w:fill="F9F9F9"/>
            <w:tcMar>
              <w:top w:w="30" w:type="dxa"/>
              <w:left w:w="60" w:type="dxa"/>
              <w:bottom w:w="30" w:type="dxa"/>
              <w:right w:w="60" w:type="dxa"/>
            </w:tcMar>
          </w:tcPr>
          <w:p>
            <w:pPr>
              <w:spacing w:before="225" w:after="225"/>
              <w:rPr>
                <w:b/>
                <w:bCs/>
                <w:sz w:val="24"/>
              </w:rPr>
            </w:pPr>
            <w:r>
              <w:rPr>
                <w:rFonts w:hint="eastAsia"/>
                <w:b/>
                <w:bCs/>
                <w:sz w:val="24"/>
              </w:rPr>
              <w:t>功能点</w:t>
            </w:r>
          </w:p>
        </w:tc>
        <w:tc>
          <w:tcPr>
            <w:tcW w:w="6045" w:type="dxa"/>
            <w:tcBorders>
              <w:top w:val="single" w:color="CCCCCC" w:sz="6" w:space="0"/>
              <w:left w:val="single" w:color="CCCCCC" w:sz="6" w:space="0"/>
              <w:bottom w:val="single" w:color="CCCCCC" w:sz="6" w:space="0"/>
              <w:right w:val="single" w:color="CCCCCC" w:sz="6" w:space="0"/>
            </w:tcBorders>
            <w:shd w:val="clear" w:color="auto" w:fill="F9F9F9"/>
            <w:tcMar>
              <w:top w:w="30" w:type="dxa"/>
              <w:left w:w="60" w:type="dxa"/>
              <w:bottom w:w="30" w:type="dxa"/>
              <w:right w:w="60" w:type="dxa"/>
            </w:tcMar>
          </w:tcPr>
          <w:p>
            <w:pPr>
              <w:spacing w:before="225" w:after="225"/>
              <w:rPr>
                <w:b/>
                <w:bCs/>
                <w:sz w:val="24"/>
              </w:rPr>
            </w:pPr>
            <w:r>
              <w:rPr>
                <w:rFonts w:hint="eastAsia"/>
                <w:b/>
                <w:bCs/>
                <w:sz w:val="24"/>
              </w:rPr>
              <w:t>说明</w:t>
            </w:r>
          </w:p>
        </w:tc>
      </w:tr>
      <w:tr>
        <w:tblPrEx>
          <w:tblCellMar>
            <w:top w:w="0" w:type="dxa"/>
            <w:left w:w="108" w:type="dxa"/>
            <w:bottom w:w="0" w:type="dxa"/>
            <w:right w:w="108" w:type="dxa"/>
          </w:tblCellMar>
        </w:tblPrEx>
        <w:trPr>
          <w:trHeight w:val="450" w:hRule="atLeast"/>
        </w:trPr>
        <w:tc>
          <w:tcPr>
            <w:tcW w:w="108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rFonts w:hint="eastAsia"/>
                <w:sz w:val="24"/>
              </w:rPr>
              <w:t>人员管理</w:t>
            </w:r>
          </w:p>
        </w:tc>
        <w:tc>
          <w:tcPr>
            <w:tcW w:w="3105"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sz w:val="24"/>
              </w:rPr>
              <w:t>1.</w:t>
            </w:r>
            <w:r>
              <w:rPr>
                <w:rFonts w:hint="eastAsia"/>
                <w:sz w:val="24"/>
              </w:rPr>
              <w:t>添加导入人员信息</w:t>
            </w:r>
            <w:r>
              <w:rPr>
                <w:sz w:val="24"/>
              </w:rPr>
              <w:br w:type="textWrapping"/>
            </w:r>
            <w:r>
              <w:rPr>
                <w:sz w:val="24"/>
              </w:rPr>
              <w:t>2.</w:t>
            </w:r>
            <w:r>
              <w:rPr>
                <w:rFonts w:hint="eastAsia"/>
                <w:sz w:val="24"/>
              </w:rPr>
              <w:t>搜索人员、按病区列表查看</w:t>
            </w:r>
            <w:r>
              <w:rPr>
                <w:sz w:val="24"/>
              </w:rPr>
              <w:br w:type="textWrapping"/>
            </w:r>
            <w:r>
              <w:rPr>
                <w:sz w:val="24"/>
              </w:rPr>
              <w:t>3.</w:t>
            </w:r>
            <w:r>
              <w:rPr>
                <w:rFonts w:hint="eastAsia"/>
                <w:sz w:val="24"/>
              </w:rPr>
              <w:t>查看单个人员教学总数据</w:t>
            </w:r>
          </w:p>
        </w:tc>
        <w:tc>
          <w:tcPr>
            <w:tcW w:w="6045"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sz w:val="24"/>
              </w:rPr>
              <w:t>1.</w:t>
            </w:r>
            <w:r>
              <w:rPr>
                <w:rFonts w:hint="eastAsia"/>
                <w:sz w:val="24"/>
              </w:rPr>
              <w:t>除了手机端快速添加人员外，电脑端也提供了入口，方便管理员在不同场合下使用。</w:t>
            </w:r>
            <w:r>
              <w:rPr>
                <w:sz w:val="24"/>
              </w:rPr>
              <w:br w:type="textWrapping"/>
            </w:r>
            <w:r>
              <w:rPr>
                <w:sz w:val="24"/>
              </w:rPr>
              <w:t>2.</w:t>
            </w:r>
            <w:r>
              <w:rPr>
                <w:rFonts w:hint="eastAsia"/>
                <w:sz w:val="24"/>
              </w:rPr>
              <w:t>电脑端展示护士的数据更为详细，方便管理员查看。</w:t>
            </w:r>
          </w:p>
        </w:tc>
      </w:tr>
      <w:tr>
        <w:tblPrEx>
          <w:tblCellMar>
            <w:top w:w="0" w:type="dxa"/>
            <w:left w:w="108" w:type="dxa"/>
            <w:bottom w:w="0" w:type="dxa"/>
            <w:right w:w="108" w:type="dxa"/>
          </w:tblCellMar>
        </w:tblPrEx>
        <w:trPr>
          <w:trHeight w:val="450" w:hRule="atLeast"/>
        </w:trPr>
        <w:tc>
          <w:tcPr>
            <w:tcW w:w="108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rFonts w:hint="eastAsia"/>
                <w:sz w:val="24"/>
              </w:rPr>
              <w:t>练习题</w:t>
            </w:r>
          </w:p>
        </w:tc>
        <w:tc>
          <w:tcPr>
            <w:tcW w:w="3105"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sz w:val="24"/>
              </w:rPr>
              <w:t>1.</w:t>
            </w:r>
            <w:r>
              <w:rPr>
                <w:rFonts w:hint="eastAsia"/>
                <w:sz w:val="24"/>
              </w:rPr>
              <w:t>创建练习题主题</w:t>
            </w:r>
            <w:r>
              <w:rPr>
                <w:sz w:val="24"/>
              </w:rPr>
              <w:br w:type="textWrapping"/>
            </w:r>
            <w:r>
              <w:rPr>
                <w:sz w:val="24"/>
              </w:rPr>
              <w:t>2.</w:t>
            </w:r>
            <w:r>
              <w:rPr>
                <w:rFonts w:hint="eastAsia"/>
                <w:sz w:val="24"/>
              </w:rPr>
              <w:t>查看练习题主题列表</w:t>
            </w:r>
            <w:r>
              <w:rPr>
                <w:sz w:val="24"/>
              </w:rPr>
              <w:br w:type="textWrapping"/>
            </w:r>
            <w:r>
              <w:rPr>
                <w:sz w:val="24"/>
              </w:rPr>
              <w:t>3.</w:t>
            </w:r>
            <w:r>
              <w:rPr>
                <w:rFonts w:hint="eastAsia"/>
                <w:sz w:val="24"/>
              </w:rPr>
              <w:t>查看某一个练习题数据表</w:t>
            </w:r>
            <w:r>
              <w:rPr>
                <w:sz w:val="24"/>
              </w:rPr>
              <w:br w:type="textWrapping"/>
            </w:r>
            <w:r>
              <w:rPr>
                <w:sz w:val="24"/>
              </w:rPr>
              <w:t>4.</w:t>
            </w:r>
            <w:r>
              <w:rPr>
                <w:rFonts w:hint="eastAsia"/>
                <w:sz w:val="24"/>
              </w:rPr>
              <w:t>查看某一个练习题主题试题统计</w:t>
            </w:r>
            <w:r>
              <w:rPr>
                <w:sz w:val="24"/>
              </w:rPr>
              <w:br w:type="textWrapping"/>
            </w:r>
            <w:r>
              <w:rPr>
                <w:sz w:val="24"/>
              </w:rPr>
              <w:t>5.Excel</w:t>
            </w:r>
            <w:r>
              <w:rPr>
                <w:rFonts w:hint="eastAsia"/>
                <w:sz w:val="24"/>
              </w:rPr>
              <w:t>形式导出数据</w:t>
            </w:r>
            <w:r>
              <w:rPr>
                <w:sz w:val="24"/>
              </w:rPr>
              <w:br w:type="textWrapping"/>
            </w:r>
            <w:r>
              <w:rPr>
                <w:sz w:val="24"/>
              </w:rPr>
              <w:t>6.</w:t>
            </w:r>
            <w:r>
              <w:rPr>
                <w:rFonts w:hint="eastAsia"/>
                <w:sz w:val="24"/>
              </w:rPr>
              <w:t>生成手机报表</w:t>
            </w:r>
            <w:r>
              <w:rPr>
                <w:sz w:val="24"/>
              </w:rPr>
              <w:br w:type="textWrapping"/>
            </w:r>
            <w:r>
              <w:rPr>
                <w:sz w:val="24"/>
              </w:rPr>
              <w:t>7.</w:t>
            </w:r>
            <w:r>
              <w:rPr>
                <w:rFonts w:hint="eastAsia"/>
                <w:sz w:val="24"/>
              </w:rPr>
              <w:t>查看某一个护士的练习题情况</w:t>
            </w:r>
          </w:p>
        </w:tc>
        <w:tc>
          <w:tcPr>
            <w:tcW w:w="6045"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sz w:val="24"/>
              </w:rPr>
              <w:t>1.</w:t>
            </w:r>
            <w:r>
              <w:rPr>
                <w:rFonts w:hint="eastAsia"/>
                <w:sz w:val="24"/>
              </w:rPr>
              <w:t>自动化、标准化创建练习题让护士学习，可以用系统自带的数十万道题目中抽取。</w:t>
            </w:r>
            <w:r>
              <w:rPr>
                <w:sz w:val="24"/>
              </w:rPr>
              <w:br w:type="textWrapping"/>
            </w:r>
            <w:r>
              <w:rPr>
                <w:sz w:val="24"/>
              </w:rPr>
              <w:t>2.</w:t>
            </w:r>
            <w:r>
              <w:rPr>
                <w:rFonts w:hint="eastAsia"/>
                <w:sz w:val="24"/>
              </w:rPr>
              <w:t>一键绑定需要学习的护士，按病区、能级等条件筛选，快速便捷。</w:t>
            </w:r>
            <w:r>
              <w:rPr>
                <w:sz w:val="24"/>
              </w:rPr>
              <w:br w:type="textWrapping"/>
            </w:r>
            <w:r>
              <w:rPr>
                <w:sz w:val="24"/>
              </w:rPr>
              <w:t>3.</w:t>
            </w:r>
            <w:r>
              <w:rPr>
                <w:rFonts w:hint="eastAsia"/>
                <w:sz w:val="24"/>
              </w:rPr>
              <w:t>发现练习较多、错误较多、某一类护士学习热情度等各维度统计护士练习数据。</w:t>
            </w:r>
            <w:r>
              <w:rPr>
                <w:sz w:val="24"/>
              </w:rPr>
              <w:br w:type="textWrapping"/>
            </w:r>
            <w:r>
              <w:rPr>
                <w:sz w:val="24"/>
              </w:rPr>
              <w:t>4.xcel</w:t>
            </w:r>
            <w:r>
              <w:rPr>
                <w:rFonts w:hint="eastAsia"/>
                <w:sz w:val="24"/>
              </w:rPr>
              <w:t>形式导出数据方式，支持管理员随意提取数据制作数据表。</w:t>
            </w:r>
            <w:r>
              <w:rPr>
                <w:sz w:val="24"/>
              </w:rPr>
              <w:br w:type="textWrapping"/>
            </w:r>
            <w:r>
              <w:rPr>
                <w:sz w:val="24"/>
              </w:rPr>
              <w:t>5.</w:t>
            </w:r>
            <w:r>
              <w:rPr>
                <w:rFonts w:hint="eastAsia"/>
                <w:sz w:val="24"/>
              </w:rPr>
              <w:t>为教学科研提供科学的数据支持。</w:t>
            </w:r>
          </w:p>
        </w:tc>
      </w:tr>
      <w:tr>
        <w:tblPrEx>
          <w:tblCellMar>
            <w:top w:w="0" w:type="dxa"/>
            <w:left w:w="108" w:type="dxa"/>
            <w:bottom w:w="0" w:type="dxa"/>
            <w:right w:w="108" w:type="dxa"/>
          </w:tblCellMar>
        </w:tblPrEx>
        <w:trPr>
          <w:trHeight w:val="450" w:hRule="atLeast"/>
        </w:trPr>
        <w:tc>
          <w:tcPr>
            <w:tcW w:w="108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rFonts w:hint="eastAsia"/>
                <w:sz w:val="24"/>
              </w:rPr>
              <w:t>培训</w:t>
            </w:r>
          </w:p>
        </w:tc>
        <w:tc>
          <w:tcPr>
            <w:tcW w:w="3105"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sz w:val="24"/>
              </w:rPr>
              <w:t>1.</w:t>
            </w:r>
            <w:r>
              <w:rPr>
                <w:rFonts w:hint="eastAsia"/>
                <w:sz w:val="24"/>
              </w:rPr>
              <w:t>快速创建培训</w:t>
            </w:r>
            <w:r>
              <w:rPr>
                <w:sz w:val="24"/>
              </w:rPr>
              <w:br w:type="textWrapping"/>
            </w:r>
            <w:r>
              <w:rPr>
                <w:sz w:val="24"/>
              </w:rPr>
              <w:t>2.</w:t>
            </w:r>
            <w:r>
              <w:rPr>
                <w:rFonts w:hint="eastAsia"/>
                <w:sz w:val="24"/>
              </w:rPr>
              <w:t>查看培训数据：签到、答题等数据</w:t>
            </w:r>
            <w:r>
              <w:rPr>
                <w:sz w:val="24"/>
              </w:rPr>
              <w:br w:type="textWrapping"/>
            </w:r>
            <w:r>
              <w:rPr>
                <w:sz w:val="24"/>
              </w:rPr>
              <w:t>3.Excel</w:t>
            </w:r>
            <w:r>
              <w:rPr>
                <w:rFonts w:hint="eastAsia"/>
                <w:sz w:val="24"/>
              </w:rPr>
              <w:t>形式导出数据</w:t>
            </w:r>
            <w:r>
              <w:rPr>
                <w:sz w:val="24"/>
              </w:rPr>
              <w:br w:type="textWrapping"/>
            </w:r>
            <w:r>
              <w:rPr>
                <w:sz w:val="24"/>
              </w:rPr>
              <w:t>4.</w:t>
            </w:r>
            <w:r>
              <w:rPr>
                <w:rFonts w:hint="eastAsia"/>
                <w:sz w:val="24"/>
              </w:rPr>
              <w:t>生成手机报表</w:t>
            </w:r>
            <w:r>
              <w:rPr>
                <w:sz w:val="24"/>
              </w:rPr>
              <w:br w:type="textWrapping"/>
            </w:r>
            <w:r>
              <w:rPr>
                <w:sz w:val="24"/>
              </w:rPr>
              <w:t>5.</w:t>
            </w:r>
            <w:r>
              <w:rPr>
                <w:rFonts w:hint="eastAsia"/>
                <w:sz w:val="24"/>
              </w:rPr>
              <w:t>支持在线培训创建</w:t>
            </w:r>
            <w:r>
              <w:rPr>
                <w:sz w:val="24"/>
              </w:rPr>
              <w:br w:type="textWrapping"/>
            </w:r>
            <w:r>
              <w:rPr>
                <w:sz w:val="24"/>
              </w:rPr>
              <w:t>6.</w:t>
            </w:r>
            <w:r>
              <w:rPr>
                <w:rFonts w:hint="eastAsia"/>
                <w:sz w:val="24"/>
              </w:rPr>
              <w:t>设置是否报名</w:t>
            </w:r>
            <w:r>
              <w:rPr>
                <w:sz w:val="24"/>
              </w:rPr>
              <w:br w:type="textWrapping"/>
            </w:r>
            <w:r>
              <w:rPr>
                <w:sz w:val="24"/>
              </w:rPr>
              <w:t>7.</w:t>
            </w:r>
            <w:r>
              <w:rPr>
                <w:rFonts w:hint="eastAsia"/>
                <w:sz w:val="24"/>
              </w:rPr>
              <w:t>上传培训课件</w:t>
            </w:r>
            <w:r>
              <w:rPr>
                <w:sz w:val="24"/>
              </w:rPr>
              <w:br w:type="textWrapping"/>
            </w:r>
            <w:r>
              <w:rPr>
                <w:sz w:val="24"/>
              </w:rPr>
              <w:t>8.</w:t>
            </w:r>
            <w:r>
              <w:rPr>
                <w:rFonts w:hint="eastAsia"/>
                <w:sz w:val="24"/>
              </w:rPr>
              <w:t>绑定学分</w:t>
            </w:r>
          </w:p>
        </w:tc>
        <w:tc>
          <w:tcPr>
            <w:tcW w:w="6045"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sz w:val="24"/>
              </w:rPr>
              <w:t>1.</w:t>
            </w:r>
            <w:r>
              <w:rPr>
                <w:rFonts w:hint="eastAsia"/>
                <w:sz w:val="24"/>
              </w:rPr>
              <w:t>自动化、标准化创建培训。</w:t>
            </w:r>
            <w:r>
              <w:rPr>
                <w:sz w:val="24"/>
              </w:rPr>
              <w:br w:type="textWrapping"/>
            </w:r>
            <w:r>
              <w:rPr>
                <w:sz w:val="24"/>
              </w:rPr>
              <w:t>2.</w:t>
            </w:r>
            <w:r>
              <w:rPr>
                <w:rFonts w:hint="eastAsia"/>
                <w:sz w:val="24"/>
              </w:rPr>
              <w:t>一键绑定需要参加培训的护士，按病区、能级等条件筛选，快速便捷。</w:t>
            </w:r>
            <w:r>
              <w:rPr>
                <w:sz w:val="24"/>
              </w:rPr>
              <w:br w:type="textWrapping"/>
            </w:r>
            <w:r>
              <w:rPr>
                <w:sz w:val="24"/>
              </w:rPr>
              <w:t>3.</w:t>
            </w:r>
            <w:r>
              <w:rPr>
                <w:rFonts w:hint="eastAsia"/>
                <w:sz w:val="24"/>
              </w:rPr>
              <w:t>各种培训相关数据随时查看</w:t>
            </w:r>
            <w:r>
              <w:rPr>
                <w:sz w:val="24"/>
              </w:rPr>
              <w:br w:type="textWrapping"/>
            </w:r>
            <w:r>
              <w:rPr>
                <w:sz w:val="24"/>
              </w:rPr>
              <w:t>4.</w:t>
            </w:r>
            <w:r>
              <w:rPr>
                <w:rFonts w:hint="eastAsia"/>
                <w:sz w:val="24"/>
              </w:rPr>
              <w:t>根据护士签到、是否答题等情况设置相关学分，自动化分配。</w:t>
            </w:r>
            <w:r>
              <w:rPr>
                <w:sz w:val="24"/>
              </w:rPr>
              <w:br w:type="textWrapping"/>
            </w:r>
            <w:r>
              <w:rPr>
                <w:sz w:val="24"/>
              </w:rPr>
              <w:t>5.</w:t>
            </w:r>
            <w:r>
              <w:rPr>
                <w:rFonts w:hint="eastAsia"/>
                <w:sz w:val="24"/>
              </w:rPr>
              <w:t>提前建立培训，设定通知时间。节省管理者工作，护士也可以查看需要未来和自己相关的培训计划表。</w:t>
            </w:r>
          </w:p>
        </w:tc>
      </w:tr>
      <w:tr>
        <w:tblPrEx>
          <w:tblCellMar>
            <w:top w:w="0" w:type="dxa"/>
            <w:left w:w="108" w:type="dxa"/>
            <w:bottom w:w="0" w:type="dxa"/>
            <w:right w:w="108" w:type="dxa"/>
          </w:tblCellMar>
        </w:tblPrEx>
        <w:trPr>
          <w:trHeight w:val="2467" w:hRule="atLeast"/>
        </w:trPr>
        <w:tc>
          <w:tcPr>
            <w:tcW w:w="108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rFonts w:hint="eastAsia"/>
                <w:sz w:val="24"/>
              </w:rPr>
              <w:t>考试</w:t>
            </w:r>
          </w:p>
        </w:tc>
        <w:tc>
          <w:tcPr>
            <w:tcW w:w="3105"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sz w:val="24"/>
              </w:rPr>
              <w:t>1.</w:t>
            </w:r>
            <w:r>
              <w:rPr>
                <w:rFonts w:hint="eastAsia"/>
                <w:sz w:val="24"/>
              </w:rPr>
              <w:t>快速创建考试</w:t>
            </w:r>
            <w:r>
              <w:rPr>
                <w:sz w:val="24"/>
              </w:rPr>
              <w:br w:type="textWrapping"/>
            </w:r>
            <w:r>
              <w:rPr>
                <w:sz w:val="24"/>
              </w:rPr>
              <w:t>2.</w:t>
            </w:r>
            <w:r>
              <w:rPr>
                <w:rFonts w:hint="eastAsia"/>
                <w:sz w:val="24"/>
              </w:rPr>
              <w:t>查看考试数据：签到、答题等数据</w:t>
            </w:r>
            <w:r>
              <w:rPr>
                <w:sz w:val="24"/>
              </w:rPr>
              <w:br w:type="textWrapping"/>
            </w:r>
            <w:r>
              <w:rPr>
                <w:sz w:val="24"/>
              </w:rPr>
              <w:t>3.Excel</w:t>
            </w:r>
            <w:r>
              <w:rPr>
                <w:rFonts w:hint="eastAsia"/>
                <w:sz w:val="24"/>
              </w:rPr>
              <w:t>形式导出数据</w:t>
            </w:r>
            <w:r>
              <w:rPr>
                <w:sz w:val="24"/>
              </w:rPr>
              <w:br w:type="textWrapping"/>
            </w:r>
            <w:r>
              <w:rPr>
                <w:sz w:val="24"/>
              </w:rPr>
              <w:t>4.</w:t>
            </w:r>
            <w:r>
              <w:rPr>
                <w:rFonts w:hint="eastAsia"/>
                <w:sz w:val="24"/>
              </w:rPr>
              <w:t>生成手机报表</w:t>
            </w:r>
            <w:r>
              <w:rPr>
                <w:sz w:val="24"/>
              </w:rPr>
              <w:br w:type="textWrapping"/>
            </w:r>
            <w:r>
              <w:rPr>
                <w:sz w:val="24"/>
              </w:rPr>
              <w:t>5.</w:t>
            </w:r>
            <w:r>
              <w:rPr>
                <w:rFonts w:hint="eastAsia"/>
                <w:sz w:val="24"/>
              </w:rPr>
              <w:t>支持在线考试创建</w:t>
            </w:r>
            <w:r>
              <w:rPr>
                <w:sz w:val="24"/>
              </w:rPr>
              <w:br w:type="textWrapping"/>
            </w:r>
            <w:r>
              <w:rPr>
                <w:sz w:val="24"/>
              </w:rPr>
              <w:t>6.</w:t>
            </w:r>
            <w:r>
              <w:rPr>
                <w:rFonts w:hint="eastAsia"/>
                <w:sz w:val="24"/>
              </w:rPr>
              <w:t>设置是否报名</w:t>
            </w:r>
            <w:r>
              <w:rPr>
                <w:sz w:val="24"/>
              </w:rPr>
              <w:br w:type="textWrapping"/>
            </w:r>
            <w:r>
              <w:rPr>
                <w:rFonts w:hint="eastAsia"/>
                <w:sz w:val="24"/>
              </w:rPr>
              <w:t>▲</w:t>
            </w:r>
            <w:r>
              <w:rPr>
                <w:sz w:val="24"/>
              </w:rPr>
              <w:t>7.</w:t>
            </w:r>
            <w:r>
              <w:rPr>
                <w:rFonts w:hint="eastAsia"/>
                <w:sz w:val="24"/>
              </w:rPr>
              <w:t>系统自带不低于1</w:t>
            </w:r>
            <w:r>
              <w:rPr>
                <w:sz w:val="24"/>
              </w:rPr>
              <w:t>5</w:t>
            </w:r>
            <w:r>
              <w:rPr>
                <w:rFonts w:hint="eastAsia"/>
                <w:sz w:val="24"/>
              </w:rPr>
              <w:t>万道护理专业题库</w:t>
            </w:r>
            <w:r>
              <w:rPr>
                <w:sz w:val="24"/>
              </w:rPr>
              <w:t xml:space="preserve"> </w:t>
            </w:r>
          </w:p>
          <w:p>
            <w:pPr>
              <w:rPr>
                <w:sz w:val="24"/>
              </w:rPr>
            </w:pPr>
          </w:p>
        </w:tc>
        <w:tc>
          <w:tcPr>
            <w:tcW w:w="6045"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sz w:val="24"/>
              </w:rPr>
              <w:t>1.</w:t>
            </w:r>
            <w:r>
              <w:rPr>
                <w:rFonts w:hint="eastAsia"/>
                <w:sz w:val="24"/>
              </w:rPr>
              <w:t>自动化、标准化创建考试。</w:t>
            </w:r>
            <w:r>
              <w:rPr>
                <w:sz w:val="24"/>
              </w:rPr>
              <w:br w:type="textWrapping"/>
            </w:r>
            <w:r>
              <w:rPr>
                <w:sz w:val="24"/>
              </w:rPr>
              <w:t>2.</w:t>
            </w:r>
            <w:r>
              <w:rPr>
                <w:rFonts w:hint="eastAsia"/>
                <w:sz w:val="24"/>
              </w:rPr>
              <w:t>一键绑定需要参加考试的护士，按病区、能级等条件筛选，快速便捷。</w:t>
            </w:r>
            <w:r>
              <w:rPr>
                <w:sz w:val="24"/>
              </w:rPr>
              <w:br w:type="textWrapping"/>
            </w:r>
            <w:r>
              <w:rPr>
                <w:sz w:val="24"/>
              </w:rPr>
              <w:t>3.</w:t>
            </w:r>
            <w:r>
              <w:rPr>
                <w:rFonts w:hint="eastAsia"/>
                <w:sz w:val="24"/>
              </w:rPr>
              <w:t>各种考试相关数据随时查看</w:t>
            </w:r>
            <w:r>
              <w:rPr>
                <w:sz w:val="24"/>
              </w:rPr>
              <w:br w:type="textWrapping"/>
            </w:r>
            <w:r>
              <w:rPr>
                <w:sz w:val="24"/>
              </w:rPr>
              <w:t>4.</w:t>
            </w:r>
            <w:r>
              <w:rPr>
                <w:rFonts w:hint="eastAsia"/>
                <w:sz w:val="24"/>
              </w:rPr>
              <w:t>根据护士签到、是否答题等情况设置相关学分，自动化分配。</w:t>
            </w:r>
            <w:r>
              <w:rPr>
                <w:sz w:val="24"/>
              </w:rPr>
              <w:br w:type="textWrapping"/>
            </w:r>
            <w:r>
              <w:rPr>
                <w:sz w:val="24"/>
              </w:rPr>
              <w:t>5.</w:t>
            </w:r>
            <w:r>
              <w:rPr>
                <w:rFonts w:hint="eastAsia"/>
                <w:sz w:val="24"/>
              </w:rPr>
              <w:t>提前建立考试，设定通知时间。节省管理者工作，护士也可以查看需要未来和自己相关的考试计划表。</w:t>
            </w:r>
            <w:r>
              <w:rPr>
                <w:sz w:val="24"/>
              </w:rPr>
              <w:br w:type="textWrapping"/>
            </w:r>
            <w:r>
              <w:rPr>
                <w:sz w:val="24"/>
              </w:rPr>
              <w:t>6.</w:t>
            </w:r>
            <w:r>
              <w:rPr>
                <w:rFonts w:hint="eastAsia"/>
                <w:sz w:val="24"/>
              </w:rPr>
              <w:t>护士手机端作弊监控数据：切屏、截屏行为统计</w:t>
            </w:r>
          </w:p>
        </w:tc>
      </w:tr>
      <w:tr>
        <w:tblPrEx>
          <w:tblCellMar>
            <w:top w:w="0" w:type="dxa"/>
            <w:left w:w="108" w:type="dxa"/>
            <w:bottom w:w="0" w:type="dxa"/>
            <w:right w:w="108" w:type="dxa"/>
          </w:tblCellMar>
        </w:tblPrEx>
        <w:trPr>
          <w:trHeight w:val="450" w:hRule="atLeast"/>
        </w:trPr>
        <w:tc>
          <w:tcPr>
            <w:tcW w:w="108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rFonts w:hint="eastAsia"/>
                <w:sz w:val="24"/>
              </w:rPr>
              <w:t>实操考核</w:t>
            </w:r>
          </w:p>
        </w:tc>
        <w:tc>
          <w:tcPr>
            <w:tcW w:w="3105"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sz w:val="24"/>
              </w:rPr>
              <w:t>1.</w:t>
            </w:r>
            <w:r>
              <w:rPr>
                <w:rFonts w:hint="eastAsia"/>
                <w:sz w:val="24"/>
              </w:rPr>
              <w:t>快速创建实操考核</w:t>
            </w:r>
            <w:r>
              <w:rPr>
                <w:sz w:val="24"/>
              </w:rPr>
              <w:br w:type="textWrapping"/>
            </w:r>
            <w:r>
              <w:rPr>
                <w:sz w:val="24"/>
              </w:rPr>
              <w:t>2.</w:t>
            </w:r>
            <w:r>
              <w:rPr>
                <w:rFonts w:hint="eastAsia"/>
                <w:sz w:val="24"/>
              </w:rPr>
              <w:t>查看数据：签到、打分等数据</w:t>
            </w:r>
            <w:r>
              <w:rPr>
                <w:sz w:val="24"/>
              </w:rPr>
              <w:br w:type="textWrapping"/>
            </w:r>
            <w:r>
              <w:rPr>
                <w:sz w:val="24"/>
              </w:rPr>
              <w:t>3.Excel</w:t>
            </w:r>
            <w:r>
              <w:rPr>
                <w:rFonts w:hint="eastAsia"/>
                <w:sz w:val="24"/>
              </w:rPr>
              <w:t>形式导出数据</w:t>
            </w:r>
            <w:r>
              <w:rPr>
                <w:sz w:val="24"/>
              </w:rPr>
              <w:br w:type="textWrapping"/>
            </w:r>
            <w:r>
              <w:rPr>
                <w:sz w:val="24"/>
              </w:rPr>
              <w:t>4.</w:t>
            </w:r>
            <w:r>
              <w:rPr>
                <w:rFonts w:hint="eastAsia"/>
                <w:sz w:val="24"/>
              </w:rPr>
              <w:t>生成手机报表</w:t>
            </w:r>
          </w:p>
        </w:tc>
        <w:tc>
          <w:tcPr>
            <w:tcW w:w="6045"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sz w:val="24"/>
              </w:rPr>
              <w:t>1.</w:t>
            </w:r>
            <w:r>
              <w:rPr>
                <w:rFonts w:hint="eastAsia"/>
                <w:sz w:val="24"/>
              </w:rPr>
              <w:t>自动化、标准化创建实操考核。</w:t>
            </w:r>
            <w:r>
              <w:rPr>
                <w:sz w:val="24"/>
              </w:rPr>
              <w:br w:type="textWrapping"/>
            </w:r>
            <w:r>
              <w:rPr>
                <w:sz w:val="24"/>
              </w:rPr>
              <w:t>2.</w:t>
            </w:r>
            <w:r>
              <w:rPr>
                <w:rFonts w:hint="eastAsia"/>
                <w:sz w:val="24"/>
              </w:rPr>
              <w:t>一键绑定需要参加考核的护士，按病区、能级等条件筛选，快速便捷。</w:t>
            </w:r>
            <w:r>
              <w:rPr>
                <w:sz w:val="24"/>
              </w:rPr>
              <w:br w:type="textWrapping"/>
            </w:r>
            <w:r>
              <w:rPr>
                <w:sz w:val="24"/>
              </w:rPr>
              <w:t>3.</w:t>
            </w:r>
            <w:r>
              <w:rPr>
                <w:rFonts w:hint="eastAsia"/>
                <w:sz w:val="24"/>
              </w:rPr>
              <w:t>各种考试相关数据随时查看</w:t>
            </w:r>
            <w:r>
              <w:rPr>
                <w:sz w:val="24"/>
              </w:rPr>
              <w:br w:type="textWrapping"/>
            </w:r>
            <w:r>
              <w:rPr>
                <w:sz w:val="24"/>
              </w:rPr>
              <w:t>4.</w:t>
            </w:r>
            <w:r>
              <w:rPr>
                <w:rFonts w:hint="eastAsia"/>
                <w:sz w:val="24"/>
              </w:rPr>
              <w:t>根据护士考核数据生成报表。</w:t>
            </w:r>
          </w:p>
        </w:tc>
      </w:tr>
      <w:tr>
        <w:tblPrEx>
          <w:tblCellMar>
            <w:top w:w="0" w:type="dxa"/>
            <w:left w:w="108" w:type="dxa"/>
            <w:bottom w:w="0" w:type="dxa"/>
            <w:right w:w="108" w:type="dxa"/>
          </w:tblCellMar>
        </w:tblPrEx>
        <w:trPr>
          <w:trHeight w:val="450" w:hRule="atLeast"/>
        </w:trPr>
        <w:tc>
          <w:tcPr>
            <w:tcW w:w="108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rFonts w:hint="eastAsia"/>
                <w:sz w:val="24"/>
              </w:rPr>
              <w:t>视频学习</w:t>
            </w:r>
          </w:p>
        </w:tc>
        <w:tc>
          <w:tcPr>
            <w:tcW w:w="3105"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sz w:val="24"/>
              </w:rPr>
              <w:t>1.</w:t>
            </w:r>
            <w:r>
              <w:rPr>
                <w:rFonts w:hint="eastAsia"/>
                <w:sz w:val="24"/>
              </w:rPr>
              <w:t>快速创建视频学习</w:t>
            </w:r>
            <w:r>
              <w:rPr>
                <w:sz w:val="24"/>
              </w:rPr>
              <w:br w:type="textWrapping"/>
            </w:r>
            <w:r>
              <w:rPr>
                <w:sz w:val="24"/>
              </w:rPr>
              <w:t>2.</w:t>
            </w:r>
            <w:r>
              <w:rPr>
                <w:rFonts w:hint="eastAsia"/>
                <w:sz w:val="24"/>
              </w:rPr>
              <w:t>查看护士视频学习数据：观看进度，次数、重复次数、答题</w:t>
            </w:r>
            <w:r>
              <w:rPr>
                <w:sz w:val="24"/>
              </w:rPr>
              <w:br w:type="textWrapping"/>
            </w:r>
            <w:r>
              <w:rPr>
                <w:sz w:val="24"/>
              </w:rPr>
              <w:t>3.</w:t>
            </w:r>
            <w:r>
              <w:rPr>
                <w:rFonts w:hint="eastAsia"/>
                <w:sz w:val="24"/>
              </w:rPr>
              <w:t>视频任意时段插入问答，确保护士观看中答题。</w:t>
            </w:r>
            <w:r>
              <w:rPr>
                <w:sz w:val="24"/>
              </w:rPr>
              <w:br w:type="textWrapping"/>
            </w:r>
            <w:r>
              <w:rPr>
                <w:rFonts w:hint="eastAsia"/>
                <w:sz w:val="24"/>
              </w:rPr>
              <w:t>▲</w:t>
            </w:r>
            <w:r>
              <w:rPr>
                <w:sz w:val="24"/>
              </w:rPr>
              <w:t>4.</w:t>
            </w:r>
            <w:r>
              <w:rPr>
                <w:rFonts w:hint="eastAsia"/>
                <w:sz w:val="24"/>
              </w:rPr>
              <w:t>上传管理院内教学视频入库</w:t>
            </w:r>
            <w:r>
              <w:rPr>
                <w:sz w:val="24"/>
              </w:rPr>
              <w:br w:type="textWrapping"/>
            </w:r>
            <w:r>
              <w:rPr>
                <w:rFonts w:hint="eastAsia"/>
                <w:sz w:val="24"/>
              </w:rPr>
              <w:t>▲</w:t>
            </w:r>
            <w:r>
              <w:rPr>
                <w:sz w:val="24"/>
              </w:rPr>
              <w:t>5.</w:t>
            </w:r>
            <w:r>
              <w:rPr>
                <w:rFonts w:hint="eastAsia"/>
                <w:sz w:val="24"/>
              </w:rPr>
              <w:t>系统自带护理专业操作视频，包含西学中方案视频</w:t>
            </w:r>
          </w:p>
        </w:tc>
        <w:tc>
          <w:tcPr>
            <w:tcW w:w="6045"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sz w:val="24"/>
              </w:rPr>
              <w:t>1.</w:t>
            </w:r>
            <w:r>
              <w:rPr>
                <w:rFonts w:hint="eastAsia"/>
                <w:sz w:val="24"/>
              </w:rPr>
              <w:t>自动化、标准化创建视频学习。</w:t>
            </w:r>
            <w:r>
              <w:rPr>
                <w:sz w:val="24"/>
              </w:rPr>
              <w:br w:type="textWrapping"/>
            </w:r>
            <w:r>
              <w:rPr>
                <w:sz w:val="24"/>
              </w:rPr>
              <w:t>2.</w:t>
            </w:r>
            <w:r>
              <w:rPr>
                <w:rFonts w:hint="eastAsia"/>
                <w:sz w:val="24"/>
              </w:rPr>
              <w:t>一键绑定需要学习的的护士，按病区、能级等条件筛选，快速便捷。</w:t>
            </w:r>
            <w:r>
              <w:rPr>
                <w:sz w:val="24"/>
              </w:rPr>
              <w:br w:type="textWrapping"/>
            </w:r>
            <w:r>
              <w:rPr>
                <w:sz w:val="24"/>
              </w:rPr>
              <w:t>3.</w:t>
            </w:r>
            <w:r>
              <w:rPr>
                <w:rFonts w:hint="eastAsia"/>
                <w:sz w:val="24"/>
              </w:rPr>
              <w:t>各种视频相关数据随时查看</w:t>
            </w:r>
            <w:r>
              <w:rPr>
                <w:sz w:val="24"/>
              </w:rPr>
              <w:br w:type="textWrapping"/>
            </w:r>
            <w:r>
              <w:rPr>
                <w:rFonts w:hint="eastAsia"/>
                <w:sz w:val="24"/>
              </w:rPr>
              <w:t>▲</w:t>
            </w:r>
            <w:r>
              <w:rPr>
                <w:sz w:val="24"/>
              </w:rPr>
              <w:t>4.</w:t>
            </w:r>
            <w:r>
              <w:rPr>
                <w:rFonts w:hint="eastAsia"/>
                <w:sz w:val="24"/>
              </w:rPr>
              <w:t>视频中穿插问答，不答题不可以继续观看，保证有效学习。</w:t>
            </w:r>
            <w:r>
              <w:rPr>
                <w:sz w:val="24"/>
              </w:rPr>
              <w:br w:type="textWrapping"/>
            </w:r>
            <w:r>
              <w:rPr>
                <w:sz w:val="24"/>
              </w:rPr>
              <w:t>5.</w:t>
            </w:r>
            <w:r>
              <w:rPr>
                <w:rFonts w:hint="eastAsia"/>
                <w:sz w:val="24"/>
              </w:rPr>
              <w:t>移动端视频学习方式，更容易让护士掌握，提高教学效果。</w:t>
            </w:r>
            <w:r>
              <w:rPr>
                <w:sz w:val="24"/>
              </w:rPr>
              <w:br w:type="textWrapping"/>
            </w:r>
            <w:r>
              <w:rPr>
                <w:sz w:val="24"/>
              </w:rPr>
              <w:t>6.</w:t>
            </w:r>
            <w:r>
              <w:rPr>
                <w:rFonts w:hint="eastAsia"/>
                <w:sz w:val="24"/>
              </w:rPr>
              <w:t>针对新护士、实习护士、轮转护士视频化意义更大。</w:t>
            </w:r>
            <w:r>
              <w:rPr>
                <w:sz w:val="24"/>
              </w:rPr>
              <w:br w:type="textWrapping"/>
            </w:r>
            <w:r>
              <w:rPr>
                <w:sz w:val="24"/>
              </w:rPr>
              <w:t>7.</w:t>
            </w:r>
            <w:r>
              <w:rPr>
                <w:rFonts w:hint="eastAsia"/>
                <w:sz w:val="24"/>
              </w:rPr>
              <w:t>系统不定期更新专业视频。</w:t>
            </w:r>
            <w:r>
              <w:rPr>
                <w:sz w:val="24"/>
              </w:rPr>
              <w:br w:type="textWrapping"/>
            </w:r>
            <w:r>
              <w:rPr>
                <w:sz w:val="24"/>
              </w:rPr>
              <w:t>8.</w:t>
            </w:r>
            <w:r>
              <w:rPr>
                <w:rFonts w:hint="eastAsia"/>
                <w:sz w:val="24"/>
              </w:rPr>
              <w:t>院内自建视频库，随时调用。</w:t>
            </w:r>
          </w:p>
        </w:tc>
      </w:tr>
      <w:tr>
        <w:tblPrEx>
          <w:tblCellMar>
            <w:top w:w="0" w:type="dxa"/>
            <w:left w:w="108" w:type="dxa"/>
            <w:bottom w:w="0" w:type="dxa"/>
            <w:right w:w="108" w:type="dxa"/>
          </w:tblCellMar>
        </w:tblPrEx>
        <w:trPr>
          <w:trHeight w:val="2403" w:hRule="atLeast"/>
        </w:trPr>
        <w:tc>
          <w:tcPr>
            <w:tcW w:w="108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rFonts w:hint="eastAsia"/>
                <w:sz w:val="24"/>
              </w:rPr>
              <w:t>通知管理</w:t>
            </w:r>
          </w:p>
        </w:tc>
        <w:tc>
          <w:tcPr>
            <w:tcW w:w="3105"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sz w:val="24"/>
              </w:rPr>
              <w:t>1.</w:t>
            </w:r>
            <w:r>
              <w:rPr>
                <w:rFonts w:hint="eastAsia"/>
                <w:sz w:val="24"/>
              </w:rPr>
              <w:t>承载系统更重教学方式通知。</w:t>
            </w:r>
            <w:r>
              <w:rPr>
                <w:sz w:val="24"/>
              </w:rPr>
              <w:br w:type="textWrapping"/>
            </w:r>
            <w:r>
              <w:rPr>
                <w:sz w:val="24"/>
              </w:rPr>
              <w:t>2.</w:t>
            </w:r>
            <w:r>
              <w:rPr>
                <w:rFonts w:hint="eastAsia"/>
                <w:sz w:val="24"/>
              </w:rPr>
              <w:t>查看护士是否点击阅读。</w:t>
            </w:r>
            <w:r>
              <w:rPr>
                <w:sz w:val="24"/>
              </w:rPr>
              <w:br w:type="textWrapping"/>
            </w:r>
            <w:r>
              <w:rPr>
                <w:sz w:val="24"/>
              </w:rPr>
              <w:t>3.</w:t>
            </w:r>
            <w:r>
              <w:rPr>
                <w:rFonts w:hint="eastAsia"/>
                <w:sz w:val="24"/>
              </w:rPr>
              <w:t>定时推送通知。</w:t>
            </w:r>
            <w:r>
              <w:rPr>
                <w:sz w:val="24"/>
              </w:rPr>
              <w:br w:type="textWrapping"/>
            </w:r>
            <w:r>
              <w:rPr>
                <w:sz w:val="24"/>
              </w:rPr>
              <w:t>4.</w:t>
            </w:r>
            <w:r>
              <w:rPr>
                <w:rFonts w:hint="eastAsia"/>
                <w:sz w:val="24"/>
              </w:rPr>
              <w:t>通知中添加附件</w:t>
            </w:r>
            <w:r>
              <w:rPr>
                <w:sz w:val="24"/>
              </w:rPr>
              <w:br w:type="textWrapping"/>
            </w:r>
            <w:r>
              <w:rPr>
                <w:sz w:val="24"/>
              </w:rPr>
              <w:t>5.</w:t>
            </w:r>
            <w:r>
              <w:rPr>
                <w:rFonts w:hint="eastAsia"/>
                <w:sz w:val="24"/>
              </w:rPr>
              <w:t>快速绑定需要接收通知的人群。</w:t>
            </w:r>
          </w:p>
        </w:tc>
        <w:tc>
          <w:tcPr>
            <w:tcW w:w="6045"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sz w:val="24"/>
              </w:rPr>
              <w:t>1.</w:t>
            </w:r>
            <w:r>
              <w:rPr>
                <w:rFonts w:hint="eastAsia"/>
                <w:sz w:val="24"/>
              </w:rPr>
              <w:t>通知传送到微信端，保证消息精准传达。</w:t>
            </w:r>
            <w:r>
              <w:rPr>
                <w:sz w:val="24"/>
              </w:rPr>
              <w:br w:type="textWrapping"/>
            </w:r>
            <w:r>
              <w:rPr>
                <w:sz w:val="24"/>
              </w:rPr>
              <w:t>2.</w:t>
            </w:r>
            <w:r>
              <w:rPr>
                <w:rFonts w:hint="eastAsia"/>
                <w:sz w:val="24"/>
              </w:rPr>
              <w:t>按能级、科室等条件筛选出需要通知的人群，方便、自动。</w:t>
            </w:r>
            <w:r>
              <w:rPr>
                <w:sz w:val="24"/>
              </w:rPr>
              <w:br w:type="textWrapping"/>
            </w:r>
            <w:r>
              <w:rPr>
                <w:sz w:val="24"/>
              </w:rPr>
              <w:t>3.</w:t>
            </w:r>
            <w:r>
              <w:rPr>
                <w:rFonts w:hint="eastAsia"/>
                <w:sz w:val="24"/>
              </w:rPr>
              <w:t>实时查看护士是否点击阅读。</w:t>
            </w:r>
          </w:p>
        </w:tc>
      </w:tr>
      <w:tr>
        <w:tblPrEx>
          <w:tblCellMar>
            <w:top w:w="0" w:type="dxa"/>
            <w:left w:w="108" w:type="dxa"/>
            <w:bottom w:w="0" w:type="dxa"/>
            <w:right w:w="108" w:type="dxa"/>
          </w:tblCellMar>
        </w:tblPrEx>
        <w:trPr>
          <w:trHeight w:val="450" w:hRule="atLeast"/>
        </w:trPr>
        <w:tc>
          <w:tcPr>
            <w:tcW w:w="108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rFonts w:hint="eastAsia"/>
                <w:sz w:val="24"/>
              </w:rPr>
              <w:t>教学计划</w:t>
            </w:r>
          </w:p>
        </w:tc>
        <w:tc>
          <w:tcPr>
            <w:tcW w:w="3105"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sz w:val="24"/>
              </w:rPr>
              <w:t>1.</w:t>
            </w:r>
            <w:r>
              <w:rPr>
                <w:rFonts w:hint="eastAsia"/>
                <w:sz w:val="24"/>
              </w:rPr>
              <w:t>创建全年教学计划表</w:t>
            </w:r>
            <w:r>
              <w:rPr>
                <w:sz w:val="24"/>
              </w:rPr>
              <w:br w:type="textWrapping"/>
            </w:r>
            <w:r>
              <w:rPr>
                <w:sz w:val="24"/>
              </w:rPr>
              <w:t>2.</w:t>
            </w:r>
            <w:r>
              <w:rPr>
                <w:rFonts w:hint="eastAsia"/>
                <w:sz w:val="24"/>
              </w:rPr>
              <w:t>自动化提醒相关护士</w:t>
            </w:r>
          </w:p>
        </w:tc>
        <w:tc>
          <w:tcPr>
            <w:tcW w:w="6045"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sz w:val="24"/>
              </w:rPr>
              <w:t>1.</w:t>
            </w:r>
            <w:r>
              <w:rPr>
                <w:rFonts w:hint="eastAsia"/>
                <w:sz w:val="24"/>
              </w:rPr>
              <w:t>提前做好教学计划表，方便护士手机端查看。</w:t>
            </w:r>
            <w:r>
              <w:rPr>
                <w:sz w:val="24"/>
              </w:rPr>
              <w:br w:type="textWrapping"/>
            </w:r>
            <w:r>
              <w:rPr>
                <w:sz w:val="24"/>
              </w:rPr>
              <w:t>2.</w:t>
            </w:r>
            <w:r>
              <w:rPr>
                <w:rFonts w:hint="eastAsia"/>
                <w:sz w:val="24"/>
              </w:rPr>
              <w:t>提前通知相关护士参与。</w:t>
            </w:r>
            <w:r>
              <w:rPr>
                <w:sz w:val="24"/>
              </w:rPr>
              <w:br w:type="textWrapping"/>
            </w:r>
            <w:r>
              <w:rPr>
                <w:sz w:val="24"/>
              </w:rPr>
              <w:t>3.</w:t>
            </w:r>
            <w:r>
              <w:rPr>
                <w:rFonts w:hint="eastAsia"/>
                <w:sz w:val="24"/>
              </w:rPr>
              <w:t>多位老师可共同编辑计划表，方便护理部二次编辑，修改更便捷。</w:t>
            </w:r>
          </w:p>
        </w:tc>
      </w:tr>
      <w:tr>
        <w:tblPrEx>
          <w:tblCellMar>
            <w:top w:w="0" w:type="dxa"/>
            <w:left w:w="108" w:type="dxa"/>
            <w:bottom w:w="0" w:type="dxa"/>
            <w:right w:w="108" w:type="dxa"/>
          </w:tblCellMar>
        </w:tblPrEx>
        <w:trPr>
          <w:trHeight w:val="2002" w:hRule="atLeast"/>
        </w:trPr>
        <w:tc>
          <w:tcPr>
            <w:tcW w:w="108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rFonts w:hint="eastAsia"/>
                <w:sz w:val="24"/>
              </w:rPr>
              <w:t>人员管理</w:t>
            </w:r>
          </w:p>
        </w:tc>
        <w:tc>
          <w:tcPr>
            <w:tcW w:w="3105"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sz w:val="24"/>
              </w:rPr>
              <w:t>1.</w:t>
            </w:r>
            <w:r>
              <w:rPr>
                <w:rFonts w:hint="eastAsia"/>
                <w:sz w:val="24"/>
              </w:rPr>
              <w:t>生成医院专属二维码</w:t>
            </w:r>
            <w:r>
              <w:rPr>
                <w:sz w:val="24"/>
              </w:rPr>
              <w:br w:type="textWrapping"/>
            </w:r>
            <w:r>
              <w:rPr>
                <w:sz w:val="24"/>
              </w:rPr>
              <w:t>2.</w:t>
            </w:r>
            <w:r>
              <w:rPr>
                <w:rFonts w:hint="eastAsia"/>
                <w:sz w:val="24"/>
              </w:rPr>
              <w:t>批量导入人员名单</w:t>
            </w:r>
            <w:r>
              <w:rPr>
                <w:sz w:val="24"/>
              </w:rPr>
              <w:br w:type="textWrapping"/>
            </w:r>
            <w:r>
              <w:rPr>
                <w:sz w:val="24"/>
              </w:rPr>
              <w:t>3.</w:t>
            </w:r>
            <w:r>
              <w:rPr>
                <w:rFonts w:hint="eastAsia"/>
                <w:sz w:val="24"/>
              </w:rPr>
              <w:t>修改护士信息</w:t>
            </w:r>
            <w:r>
              <w:rPr>
                <w:sz w:val="24"/>
              </w:rPr>
              <w:br w:type="textWrapping"/>
            </w:r>
            <w:r>
              <w:rPr>
                <w:sz w:val="24"/>
              </w:rPr>
              <w:t>4.</w:t>
            </w:r>
            <w:r>
              <w:rPr>
                <w:rFonts w:hint="eastAsia"/>
                <w:sz w:val="24"/>
              </w:rPr>
              <w:t>统计全院护士数据：病区、能级、学历、职务、职称等</w:t>
            </w:r>
            <w:r>
              <w:rPr>
                <w:sz w:val="24"/>
              </w:rPr>
              <w:br w:type="textWrapping"/>
            </w:r>
            <w:r>
              <w:rPr>
                <w:sz w:val="24"/>
              </w:rPr>
              <w:t>5.</w:t>
            </w:r>
            <w:r>
              <w:rPr>
                <w:rFonts w:hint="eastAsia"/>
                <w:sz w:val="24"/>
              </w:rPr>
              <w:t>添加护士信息</w:t>
            </w:r>
          </w:p>
        </w:tc>
        <w:tc>
          <w:tcPr>
            <w:tcW w:w="6045"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rFonts w:hint="eastAsia"/>
                <w:sz w:val="24"/>
              </w:rPr>
              <w:t>▲</w:t>
            </w:r>
            <w:r>
              <w:rPr>
                <w:sz w:val="24"/>
              </w:rPr>
              <w:t>1.</w:t>
            </w:r>
            <w:r>
              <w:rPr>
                <w:rFonts w:hint="eastAsia"/>
                <w:sz w:val="24"/>
              </w:rPr>
              <w:t>生成医院专属二维码，让护士扫码加入，科学的审核机制，避免外人加入系统。</w:t>
            </w:r>
            <w:r>
              <w:rPr>
                <w:sz w:val="24"/>
              </w:rPr>
              <w:br w:type="textWrapping"/>
            </w:r>
            <w:r>
              <w:rPr>
                <w:sz w:val="24"/>
              </w:rPr>
              <w:t>2.</w:t>
            </w:r>
            <w:r>
              <w:rPr>
                <w:rFonts w:hint="eastAsia"/>
                <w:sz w:val="24"/>
              </w:rPr>
              <w:t>重要信息可由护理部审核，保证护士信息正确性，避免护士乱改信息。</w:t>
            </w:r>
          </w:p>
        </w:tc>
      </w:tr>
      <w:tr>
        <w:tblPrEx>
          <w:tblCellMar>
            <w:top w:w="0" w:type="dxa"/>
            <w:left w:w="108" w:type="dxa"/>
            <w:bottom w:w="0" w:type="dxa"/>
            <w:right w:w="108" w:type="dxa"/>
          </w:tblCellMar>
        </w:tblPrEx>
        <w:trPr>
          <w:trHeight w:val="450" w:hRule="atLeast"/>
        </w:trPr>
        <w:tc>
          <w:tcPr>
            <w:tcW w:w="1080"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rFonts w:hint="eastAsia"/>
                <w:sz w:val="24"/>
              </w:rPr>
              <w:t>安全管理</w:t>
            </w:r>
          </w:p>
        </w:tc>
        <w:tc>
          <w:tcPr>
            <w:tcW w:w="3105"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rFonts w:hint="eastAsia"/>
                <w:sz w:val="24"/>
              </w:rPr>
              <w:t>1</w:t>
            </w:r>
            <w:r>
              <w:rPr>
                <w:sz w:val="24"/>
              </w:rPr>
              <w:t>.</w:t>
            </w:r>
            <w:r>
              <w:rPr>
                <w:rFonts w:hint="eastAsia"/>
                <w:sz w:val="24"/>
              </w:rPr>
              <w:t>异地账号登录监控</w:t>
            </w:r>
            <w:r>
              <w:rPr>
                <w:sz w:val="24"/>
              </w:rPr>
              <w:br w:type="textWrapping"/>
            </w:r>
            <w:r>
              <w:rPr>
                <w:rFonts w:hint="eastAsia"/>
                <w:sz w:val="24"/>
              </w:rPr>
              <w:t>2</w:t>
            </w:r>
            <w:r>
              <w:rPr>
                <w:sz w:val="24"/>
              </w:rPr>
              <w:t>.</w:t>
            </w:r>
            <w:r>
              <w:rPr>
                <w:rFonts w:hint="eastAsia"/>
                <w:sz w:val="24"/>
              </w:rPr>
              <w:t>去账号微信端扫码登录方式</w:t>
            </w:r>
          </w:p>
        </w:tc>
        <w:tc>
          <w:tcPr>
            <w:tcW w:w="6045" w:type="dxa"/>
            <w:tcBorders>
              <w:top w:val="single" w:color="CCCCCC" w:sz="6" w:space="0"/>
              <w:left w:val="single" w:color="CCCCCC" w:sz="6" w:space="0"/>
              <w:bottom w:val="single" w:color="CCCCCC" w:sz="6" w:space="0"/>
              <w:right w:val="single" w:color="CCCCCC" w:sz="6" w:space="0"/>
            </w:tcBorders>
            <w:tcMar>
              <w:top w:w="30" w:type="dxa"/>
              <w:left w:w="60" w:type="dxa"/>
              <w:bottom w:w="30" w:type="dxa"/>
              <w:right w:w="60" w:type="dxa"/>
            </w:tcMar>
          </w:tcPr>
          <w:p>
            <w:pPr>
              <w:rPr>
                <w:sz w:val="24"/>
              </w:rPr>
            </w:pPr>
            <w:r>
              <w:rPr>
                <w:rFonts w:hint="eastAsia"/>
                <w:sz w:val="24"/>
              </w:rPr>
              <w:t>1</w:t>
            </w:r>
            <w:r>
              <w:rPr>
                <w:sz w:val="24"/>
              </w:rPr>
              <w:t>.</w:t>
            </w:r>
            <w:r>
              <w:rPr>
                <w:rFonts w:hint="eastAsia"/>
                <w:sz w:val="24"/>
              </w:rPr>
              <w:t>微信端一键登录，自动识别管理者身份。</w:t>
            </w:r>
          </w:p>
        </w:tc>
      </w:tr>
    </w:tbl>
    <w:p>
      <w:pPr>
        <w:spacing w:line="360" w:lineRule="auto"/>
        <w:rPr>
          <w:rFonts w:ascii="宋体" w:hAnsi="宋体" w:cs="宋体"/>
          <w:sz w:val="24"/>
        </w:rPr>
      </w:pPr>
    </w:p>
    <w:bookmarkEnd w:id="1"/>
    <w:p>
      <w:pPr>
        <w:pStyle w:val="4"/>
        <w:numPr>
          <w:ilvl w:val="0"/>
          <w:numId w:val="1"/>
        </w:numPr>
        <w:rPr>
          <w:b/>
          <w:bCs/>
          <w:sz w:val="28"/>
          <w:szCs w:val="28"/>
        </w:rPr>
      </w:pPr>
      <w:bookmarkStart w:id="4" w:name="_Toc464546958"/>
      <w:bookmarkEnd w:id="4"/>
      <w:r>
        <w:rPr>
          <w:rFonts w:hint="eastAsia"/>
          <w:b/>
          <w:bCs/>
          <w:sz w:val="28"/>
          <w:szCs w:val="28"/>
        </w:rPr>
        <w:t>移动护理设备要求</w:t>
      </w:r>
    </w:p>
    <w:p>
      <w:pPr>
        <w:rPr>
          <w:b/>
          <w:bCs/>
        </w:rPr>
      </w:pPr>
    </w:p>
    <w:p>
      <w:pPr>
        <w:rPr>
          <w:b/>
          <w:bCs/>
        </w:rPr>
      </w:pPr>
      <w:r>
        <w:rPr>
          <w:rFonts w:hint="eastAsia"/>
          <w:b/>
          <w:bCs/>
        </w:rPr>
        <w:t>单病区基础规划如下图，招标同时按中标价形成渠道，后期跟进需要按合同单价采购。</w:t>
      </w:r>
    </w:p>
    <w:tbl>
      <w:tblPr>
        <w:tblStyle w:val="48"/>
        <w:tblpPr w:leftFromText="180" w:rightFromText="180" w:vertAnchor="text" w:horzAnchor="page" w:tblpX="2070" w:tblpY="98"/>
        <w:tblOverlap w:val="never"/>
        <w:tblW w:w="8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5"/>
        <w:gridCol w:w="4665"/>
        <w:gridCol w:w="1230"/>
        <w:gridCol w:w="855"/>
        <w:gridCol w:w="1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55" w:type="dxa"/>
            <w:shd w:val="clear" w:color="auto" w:fill="8DB3E2" w:themeFill="text2" w:themeFillTint="66"/>
          </w:tcPr>
          <w:p>
            <w:pPr>
              <w:jc w:val="center"/>
              <w:rPr>
                <w:rFonts w:eastAsia="Times New Roman"/>
              </w:rPr>
            </w:pPr>
            <w:r>
              <w:rPr>
                <w:rFonts w:hint="eastAsia" w:eastAsia="Times New Roman"/>
              </w:rPr>
              <w:t>序号</w:t>
            </w:r>
          </w:p>
        </w:tc>
        <w:tc>
          <w:tcPr>
            <w:tcW w:w="4665" w:type="dxa"/>
            <w:shd w:val="clear" w:color="auto" w:fill="8DB3E2" w:themeFill="text2" w:themeFillTint="66"/>
          </w:tcPr>
          <w:p>
            <w:pPr>
              <w:jc w:val="center"/>
              <w:rPr>
                <w:rFonts w:eastAsia="Times New Roman"/>
              </w:rPr>
            </w:pPr>
            <w:r>
              <w:rPr>
                <w:rFonts w:hint="eastAsia" w:eastAsia="Times New Roman"/>
              </w:rPr>
              <w:t>名称</w:t>
            </w:r>
          </w:p>
        </w:tc>
        <w:tc>
          <w:tcPr>
            <w:tcW w:w="1230" w:type="dxa"/>
            <w:shd w:val="clear" w:color="auto" w:fill="8DB3E2" w:themeFill="text2" w:themeFillTint="66"/>
          </w:tcPr>
          <w:p>
            <w:pPr>
              <w:jc w:val="center"/>
              <w:rPr>
                <w:rFonts w:eastAsia="Times New Roman"/>
              </w:rPr>
            </w:pPr>
            <w:r>
              <w:rPr>
                <w:rFonts w:hint="eastAsia" w:eastAsia="Times New Roman"/>
              </w:rPr>
              <w:t>规格</w:t>
            </w:r>
          </w:p>
        </w:tc>
        <w:tc>
          <w:tcPr>
            <w:tcW w:w="855" w:type="dxa"/>
            <w:shd w:val="clear" w:color="auto" w:fill="8DB3E2" w:themeFill="text2" w:themeFillTint="66"/>
          </w:tcPr>
          <w:p>
            <w:pPr>
              <w:jc w:val="center"/>
              <w:rPr>
                <w:rFonts w:eastAsia="Times New Roman"/>
              </w:rPr>
            </w:pPr>
            <w:r>
              <w:rPr>
                <w:rFonts w:hint="eastAsia" w:eastAsia="Times New Roman"/>
              </w:rPr>
              <w:t>数量</w:t>
            </w:r>
          </w:p>
        </w:tc>
        <w:tc>
          <w:tcPr>
            <w:tcW w:w="1501" w:type="dxa"/>
            <w:shd w:val="clear" w:color="auto" w:fill="8DB3E2" w:themeFill="text2" w:themeFillTint="66"/>
          </w:tcPr>
          <w:p>
            <w:pPr>
              <w:jc w:val="center"/>
              <w:rPr>
                <w:rFonts w:eastAsia="Times New Roman"/>
              </w:rPr>
            </w:pPr>
            <w:r>
              <w:rPr>
                <w:rFonts w:hint="eastAsia" w:eastAsia="Times New Roman"/>
              </w:rPr>
              <w:t>预算单价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dxa"/>
            <w:vAlign w:val="center"/>
          </w:tcPr>
          <w:p>
            <w:pPr>
              <w:jc w:val="center"/>
              <w:rPr>
                <w:rFonts w:eastAsia="Times New Roman"/>
              </w:rPr>
            </w:pPr>
            <w:r>
              <w:rPr>
                <w:rFonts w:hint="eastAsia" w:eastAsia="Times New Roman"/>
              </w:rPr>
              <w:t>1</w:t>
            </w:r>
          </w:p>
        </w:tc>
        <w:tc>
          <w:tcPr>
            <w:tcW w:w="4665" w:type="dxa"/>
            <w:vAlign w:val="center"/>
          </w:tcPr>
          <w:p>
            <w:pPr>
              <w:rPr>
                <w:rFonts w:eastAsia="Times New Roman"/>
              </w:rPr>
            </w:pPr>
            <w:bookmarkStart w:id="5" w:name="_Hlk55377896"/>
            <w:r>
              <w:rPr>
                <w:rFonts w:hint="eastAsia" w:eastAsia="Times New Roman"/>
              </w:rPr>
              <w:t xml:space="preserve">移动护理手持终端 </w:t>
            </w:r>
            <w:bookmarkEnd w:id="5"/>
          </w:p>
        </w:tc>
        <w:tc>
          <w:tcPr>
            <w:tcW w:w="1230" w:type="dxa"/>
            <w:vAlign w:val="center"/>
          </w:tcPr>
          <w:p>
            <w:pPr>
              <w:jc w:val="center"/>
              <w:rPr>
                <w:rFonts w:eastAsia="Times New Roman"/>
              </w:rPr>
            </w:pPr>
            <w:r>
              <w:rPr>
                <w:rFonts w:hint="eastAsia" w:eastAsia="Times New Roman"/>
              </w:rPr>
              <w:t>台</w:t>
            </w:r>
          </w:p>
        </w:tc>
        <w:tc>
          <w:tcPr>
            <w:tcW w:w="855" w:type="dxa"/>
            <w:vAlign w:val="center"/>
          </w:tcPr>
          <w:p>
            <w:pPr>
              <w:jc w:val="center"/>
              <w:rPr>
                <w:rFonts w:eastAsia="Times New Roman"/>
              </w:rPr>
            </w:pPr>
            <w:r>
              <w:rPr>
                <w:rFonts w:hint="eastAsia" w:eastAsia="Times New Roman"/>
              </w:rPr>
              <w:t>8</w:t>
            </w:r>
          </w:p>
        </w:tc>
        <w:tc>
          <w:tcPr>
            <w:tcW w:w="1501" w:type="dxa"/>
            <w:vAlign w:val="center"/>
          </w:tcPr>
          <w:p>
            <w:pPr>
              <w:jc w:val="center"/>
              <w:rPr>
                <w:rFonts w:eastAsia="Times New Roman"/>
              </w:rPr>
            </w:pPr>
            <w:r>
              <w:rPr>
                <w:rFonts w:hint="eastAsia" w:eastAsia="Times New Roman"/>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jc w:val="center"/>
              <w:rPr>
                <w:rFonts w:eastAsia="Times New Roman"/>
              </w:rPr>
            </w:pPr>
            <w:r>
              <w:rPr>
                <w:rFonts w:hint="eastAsia" w:eastAsia="Times New Roman"/>
              </w:rPr>
              <w:t>2</w:t>
            </w:r>
          </w:p>
        </w:tc>
        <w:tc>
          <w:tcPr>
            <w:tcW w:w="4665" w:type="dxa"/>
            <w:vAlign w:val="center"/>
          </w:tcPr>
          <w:p>
            <w:pPr>
              <w:rPr>
                <w:rFonts w:eastAsia="Times New Roman"/>
              </w:rPr>
            </w:pPr>
            <w:r>
              <w:rPr>
                <w:rFonts w:hint="eastAsia" w:eastAsia="Times New Roman"/>
              </w:rPr>
              <w:t>移动护理查房设备</w:t>
            </w:r>
          </w:p>
        </w:tc>
        <w:tc>
          <w:tcPr>
            <w:tcW w:w="1230" w:type="dxa"/>
            <w:vAlign w:val="center"/>
          </w:tcPr>
          <w:p>
            <w:pPr>
              <w:jc w:val="center"/>
              <w:rPr>
                <w:rFonts w:eastAsia="Times New Roman"/>
              </w:rPr>
            </w:pPr>
            <w:r>
              <w:rPr>
                <w:rFonts w:hint="eastAsia" w:eastAsia="Times New Roman"/>
              </w:rPr>
              <w:t>套</w:t>
            </w:r>
          </w:p>
        </w:tc>
        <w:tc>
          <w:tcPr>
            <w:tcW w:w="855" w:type="dxa"/>
            <w:vAlign w:val="center"/>
          </w:tcPr>
          <w:p>
            <w:pPr>
              <w:jc w:val="center"/>
              <w:rPr>
                <w:rFonts w:eastAsia="Times New Roman"/>
              </w:rPr>
            </w:pPr>
            <w:r>
              <w:rPr>
                <w:rFonts w:hint="eastAsia" w:eastAsia="Times New Roman"/>
              </w:rPr>
              <w:t>2</w:t>
            </w:r>
          </w:p>
        </w:tc>
        <w:tc>
          <w:tcPr>
            <w:tcW w:w="1501" w:type="dxa"/>
            <w:vAlign w:val="center"/>
          </w:tcPr>
          <w:p>
            <w:pPr>
              <w:jc w:val="center"/>
              <w:rPr>
                <w:rFonts w:eastAsia="Times New Roman"/>
              </w:rPr>
            </w:pPr>
            <w:r>
              <w:rPr>
                <w:rFonts w:hint="eastAsia" w:eastAsia="Times New Roman"/>
              </w:rPr>
              <w:t>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pPr>
              <w:jc w:val="center"/>
              <w:rPr>
                <w:rFonts w:eastAsia="Times New Roman"/>
              </w:rPr>
            </w:pPr>
            <w:r>
              <w:rPr>
                <w:rFonts w:eastAsia="Times New Roman"/>
              </w:rPr>
              <w:t>3</w:t>
            </w:r>
          </w:p>
        </w:tc>
        <w:tc>
          <w:tcPr>
            <w:tcW w:w="4665" w:type="dxa"/>
            <w:vAlign w:val="center"/>
          </w:tcPr>
          <w:p>
            <w:pPr>
              <w:rPr>
                <w:rFonts w:eastAsia="Times New Roman"/>
              </w:rPr>
            </w:pPr>
            <w:r>
              <w:rPr>
                <w:rFonts w:hint="eastAsia" w:eastAsia="Times New Roman"/>
              </w:rPr>
              <w:t>体征采集设备（额温、血压、血糖、脉搏、血氧）</w:t>
            </w:r>
          </w:p>
        </w:tc>
        <w:tc>
          <w:tcPr>
            <w:tcW w:w="1230" w:type="dxa"/>
            <w:vAlign w:val="center"/>
          </w:tcPr>
          <w:p>
            <w:pPr>
              <w:jc w:val="center"/>
              <w:rPr>
                <w:rFonts w:eastAsia="Times New Roman"/>
              </w:rPr>
            </w:pPr>
            <w:r>
              <w:rPr>
                <w:rFonts w:hint="eastAsia" w:eastAsia="Times New Roman"/>
              </w:rPr>
              <w:t>套</w:t>
            </w:r>
          </w:p>
        </w:tc>
        <w:tc>
          <w:tcPr>
            <w:tcW w:w="855" w:type="dxa"/>
            <w:vAlign w:val="center"/>
          </w:tcPr>
          <w:p>
            <w:pPr>
              <w:jc w:val="center"/>
              <w:rPr>
                <w:rFonts w:eastAsia="Times New Roman"/>
              </w:rPr>
            </w:pPr>
            <w:r>
              <w:rPr>
                <w:rFonts w:hint="eastAsia" w:eastAsia="Times New Roman"/>
              </w:rPr>
              <w:t>2</w:t>
            </w:r>
          </w:p>
        </w:tc>
        <w:tc>
          <w:tcPr>
            <w:tcW w:w="1501" w:type="dxa"/>
            <w:vAlign w:val="center"/>
          </w:tcPr>
          <w:p>
            <w:pPr>
              <w:jc w:val="center"/>
              <w:rPr>
                <w:rFonts w:eastAsia="Times New Roman"/>
              </w:rPr>
            </w:pPr>
            <w:r>
              <w:rPr>
                <w:rFonts w:hint="eastAsia" w:eastAsia="Times New Roman"/>
              </w:rPr>
              <w:t>7000</w:t>
            </w:r>
          </w:p>
        </w:tc>
      </w:tr>
    </w:tbl>
    <w:p>
      <w:pPr>
        <w:rPr>
          <w:b/>
          <w:bCs/>
        </w:rPr>
      </w:pPr>
      <w:r>
        <w:rPr>
          <w:rFonts w:hint="eastAsia"/>
          <w:b/>
          <w:bCs/>
        </w:rPr>
        <w:t>其他：根据实际建设方案提供必要数量的腕带打印机、瓶签打印机，不单独报价，招标方不单独付款。</w:t>
      </w:r>
    </w:p>
    <w:p>
      <w:pPr>
        <w:pStyle w:val="174"/>
        <w:spacing w:line="360" w:lineRule="auto"/>
        <w:ind w:firstLine="0" w:firstLineChars="0"/>
        <w:rPr>
          <w:rFonts w:cs="宋体" w:asciiTheme="minorEastAsia" w:hAnsiTheme="minorEastAsia" w:eastAsiaTheme="minorEastAsia"/>
          <w:b/>
          <w:bCs/>
          <w:color w:val="000000"/>
          <w:sz w:val="24"/>
          <w:szCs w:val="24"/>
        </w:rPr>
      </w:pPr>
      <w:r>
        <w:rPr>
          <w:rFonts w:hint="eastAsia" w:cs="宋体" w:asciiTheme="minorEastAsia" w:hAnsiTheme="minorEastAsia" w:eastAsiaTheme="minorEastAsia"/>
          <w:b/>
          <w:bCs/>
          <w:color w:val="000000"/>
          <w:sz w:val="24"/>
          <w:szCs w:val="24"/>
        </w:rPr>
        <w:t>参数技术要求</w:t>
      </w:r>
    </w:p>
    <w:p>
      <w:pPr>
        <w:numPr>
          <w:ilvl w:val="0"/>
          <w:numId w:val="6"/>
        </w:numPr>
        <w:rPr>
          <w:b/>
          <w:bCs/>
        </w:rPr>
      </w:pPr>
      <w:r>
        <w:rPr>
          <w:rFonts w:hint="eastAsia"/>
          <w:b/>
          <w:bCs/>
        </w:rPr>
        <w:t>所有设备质保期不低于五年，并免费提供满足全院运行三个月需要的耗材。</w:t>
      </w:r>
    </w:p>
    <w:p>
      <w:pPr>
        <w:numPr>
          <w:ilvl w:val="0"/>
          <w:numId w:val="6"/>
        </w:numPr>
        <w:rPr>
          <w:b/>
          <w:bCs/>
        </w:rPr>
      </w:pPr>
      <w:r>
        <w:rPr>
          <w:rFonts w:hint="eastAsia" w:ascii="宋体" w:hAnsi="宋体" w:cs="宋体"/>
          <w:kern w:val="0"/>
          <w:sz w:val="24"/>
        </w:rPr>
        <w:t>▲</w:t>
      </w:r>
      <w:r>
        <w:rPr>
          <w:rFonts w:hint="eastAsia"/>
          <w:b/>
          <w:bCs/>
        </w:rPr>
        <w:t>移动护理手持终端设备</w:t>
      </w:r>
    </w:p>
    <w:p>
      <w:pPr>
        <w:numPr>
          <w:ilvl w:val="0"/>
          <w:numId w:val="7"/>
        </w:numPr>
        <w:rPr>
          <w:szCs w:val="21"/>
        </w:rPr>
      </w:pPr>
      <w:r>
        <w:rPr>
          <w:rFonts w:hint="eastAsia" w:ascii="宋体" w:hAnsi="宋体" w:cs="宋体"/>
          <w:color w:val="000000" w:themeColor="text1"/>
          <w:kern w:val="0"/>
          <w:szCs w:val="21"/>
          <w14:textFill>
            <w14:solidFill>
              <w14:schemeClr w14:val="tx1"/>
            </w14:solidFill>
          </w14:textFill>
        </w:rPr>
        <w:t>有无线电设备型号核准证、进网许可证</w:t>
      </w:r>
    </w:p>
    <w:p>
      <w:pPr>
        <w:numPr>
          <w:ilvl w:val="0"/>
          <w:numId w:val="7"/>
        </w:numPr>
      </w:pPr>
      <w:r>
        <w:rPr>
          <w:rFonts w:hint="eastAsia"/>
        </w:rPr>
        <w:t>提供开放的SDK，全程提供开发支持，可在护理、HIS等系统基础上快速开发移动护理系统, 根据不同的客户和场景开发出护理执行、医嘱核对、康复治疗等多种业务场景。</w:t>
      </w:r>
    </w:p>
    <w:p>
      <w:pPr>
        <w:numPr>
          <w:ilvl w:val="0"/>
          <w:numId w:val="7"/>
        </w:numPr>
      </w:pPr>
      <w:r>
        <w:rPr>
          <w:rFonts w:hint="eastAsia"/>
        </w:rPr>
        <w:t>可以快速加载各种业务、标准化流程支持，减少人工干预</w:t>
      </w:r>
    </w:p>
    <w:p>
      <w:pPr>
        <w:numPr>
          <w:ilvl w:val="0"/>
          <w:numId w:val="7"/>
        </w:numPr>
      </w:pPr>
      <w:r>
        <w:rPr>
          <w:rFonts w:hint="eastAsia"/>
        </w:rPr>
        <w:t>支持快速输入、支持各种应用接入</w:t>
      </w:r>
    </w:p>
    <w:p>
      <w:pPr>
        <w:numPr>
          <w:ilvl w:val="0"/>
          <w:numId w:val="7"/>
        </w:numPr>
      </w:pPr>
      <w:r>
        <w:rPr>
          <w:rFonts w:hint="eastAsia"/>
        </w:rPr>
        <w:t>支持二次开发产品的兼容</w:t>
      </w:r>
    </w:p>
    <w:p>
      <w:pPr>
        <w:numPr>
          <w:ilvl w:val="0"/>
          <w:numId w:val="7"/>
        </w:numPr>
      </w:pPr>
      <w:r>
        <w:rPr>
          <w:rFonts w:hint="eastAsia"/>
        </w:rPr>
        <w:t>正常工作时间不低于12小时，待机时间不低于72小时，充电时间低于6小时</w:t>
      </w:r>
    </w:p>
    <w:p>
      <w:pPr>
        <w:numPr>
          <w:ilvl w:val="0"/>
          <w:numId w:val="7"/>
        </w:numPr>
      </w:pPr>
      <w:r>
        <w:rPr>
          <w:rFonts w:hint="eastAsia"/>
        </w:rPr>
        <w:t>提供充电设备</w:t>
      </w:r>
    </w:p>
    <w:p>
      <w:pPr>
        <w:numPr>
          <w:ilvl w:val="0"/>
          <w:numId w:val="7"/>
        </w:numPr>
      </w:pPr>
      <w:r>
        <w:rPr>
          <w:rFonts w:hint="eastAsia"/>
        </w:rPr>
        <w:t>所提供产品，需要满足临床使用，如使用中达不到临床使用要求，需要立即无条件更换。</w:t>
      </w:r>
    </w:p>
    <w:p>
      <w:pPr>
        <w:numPr>
          <w:ilvl w:val="0"/>
          <w:numId w:val="7"/>
        </w:numPr>
      </w:pPr>
      <w:r>
        <w:rPr>
          <w:rFonts w:hint="eastAsia"/>
        </w:rPr>
        <w:t>支持5GWIFI、可屏蔽</w:t>
      </w:r>
      <w:r>
        <w:rPr>
          <w:rFonts w:hint="eastAsia" w:ascii="宋体" w:hAnsi="宋体" w:cs="宋体"/>
          <w:color w:val="000000" w:themeColor="text1"/>
          <w:kern w:val="0"/>
          <w:sz w:val="24"/>
          <w14:textFill>
            <w14:solidFill>
              <w14:schemeClr w14:val="tx1"/>
            </w14:solidFill>
          </w14:textFill>
        </w:rPr>
        <w:t>LTE</w:t>
      </w:r>
    </w:p>
    <w:p/>
    <w:p>
      <w:pPr>
        <w:numPr>
          <w:ilvl w:val="0"/>
          <w:numId w:val="6"/>
        </w:numPr>
        <w:rPr>
          <w:b/>
          <w:bCs/>
        </w:rPr>
      </w:pPr>
      <w:r>
        <w:rPr>
          <w:rFonts w:hint="eastAsia" w:ascii="宋体" w:hAnsi="宋体" w:cs="宋体"/>
          <w:kern w:val="0"/>
          <w:sz w:val="24"/>
        </w:rPr>
        <w:t>▲</w:t>
      </w:r>
      <w:r>
        <w:rPr>
          <w:rFonts w:hint="eastAsia"/>
          <w:b/>
          <w:bCs/>
        </w:rPr>
        <w:t>移动护理查房设备</w:t>
      </w:r>
    </w:p>
    <w:p>
      <w:pPr>
        <w:numPr>
          <w:ilvl w:val="0"/>
          <w:numId w:val="8"/>
        </w:numPr>
      </w:pPr>
      <w:r>
        <w:rPr>
          <w:rFonts w:hint="eastAsia"/>
        </w:rPr>
        <w:t>CPU芯片:不低于I5的8代产品，内存不低于8G，不少于6个USB、1个COM口，硬盘:SSD固态硬盘120GB;无线网络: 支持5GWIFI；显示器不小于24寸</w:t>
      </w:r>
    </w:p>
    <w:p>
      <w:pPr>
        <w:numPr>
          <w:ilvl w:val="0"/>
          <w:numId w:val="8"/>
        </w:numPr>
      </w:pPr>
      <w:r>
        <w:rPr>
          <w:rFonts w:hint="eastAsia"/>
        </w:rPr>
        <w:t>系统:正版Windows 10</w:t>
      </w:r>
      <w:r>
        <w:rPr>
          <w:rStyle w:val="55"/>
          <w:rFonts w:hint="eastAsia"/>
        </w:rPr>
        <w:t>及以上版本</w:t>
      </w:r>
    </w:p>
    <w:p>
      <w:pPr>
        <w:numPr>
          <w:ilvl w:val="0"/>
          <w:numId w:val="8"/>
        </w:numPr>
      </w:pPr>
      <w:r>
        <w:rPr>
          <w:rFonts w:hint="eastAsia"/>
        </w:rPr>
        <w:t>正常工作时间不低于8小时，充电时间低于6小时</w:t>
      </w:r>
    </w:p>
    <w:p>
      <w:pPr>
        <w:numPr>
          <w:ilvl w:val="0"/>
          <w:numId w:val="8"/>
        </w:numPr>
      </w:pPr>
      <w:r>
        <w:rPr>
          <w:rFonts w:hint="eastAsia"/>
        </w:rPr>
        <w:t>所提供型号，需要满足临床使用，如使用中达不到临床使用要求，需要立即无条件更换。</w:t>
      </w:r>
    </w:p>
    <w:p/>
    <w:p>
      <w:pPr>
        <w:numPr>
          <w:ilvl w:val="0"/>
          <w:numId w:val="6"/>
        </w:numPr>
        <w:rPr>
          <w:b/>
          <w:bCs/>
        </w:rPr>
      </w:pPr>
      <w:r>
        <w:rPr>
          <w:rFonts w:hint="eastAsia" w:ascii="宋体" w:hAnsi="宋体" w:cs="宋体"/>
          <w:kern w:val="0"/>
          <w:sz w:val="24"/>
        </w:rPr>
        <w:t>▲</w:t>
      </w:r>
      <w:r>
        <w:rPr>
          <w:rFonts w:hint="eastAsia"/>
          <w:b/>
          <w:bCs/>
        </w:rPr>
        <w:t>体征采集设备</w:t>
      </w:r>
    </w:p>
    <w:p>
      <w:pPr>
        <w:numPr>
          <w:ilvl w:val="0"/>
          <w:numId w:val="9"/>
        </w:numPr>
      </w:pPr>
      <w:r>
        <w:rPr>
          <w:rFonts w:hint="eastAsia"/>
        </w:rPr>
        <w:t>有合格的国家医疗器械生产许可证</w:t>
      </w:r>
    </w:p>
    <w:p>
      <w:pPr>
        <w:numPr>
          <w:ilvl w:val="0"/>
          <w:numId w:val="9"/>
        </w:numPr>
      </w:pPr>
      <w:r>
        <w:rPr>
          <w:rFonts w:hint="eastAsia"/>
        </w:rPr>
        <w:t>正常工作时间不低于8小时，充电时间低于2小时或电池供电</w:t>
      </w:r>
    </w:p>
    <w:p>
      <w:pPr>
        <w:numPr>
          <w:ilvl w:val="0"/>
          <w:numId w:val="9"/>
        </w:numPr>
      </w:pPr>
      <w:r>
        <w:rPr>
          <w:rFonts w:hint="eastAsia"/>
        </w:rPr>
        <w:t>所提供产品，需要满足临床使用，如使用中达不到临床使用要求，需要立即无条件更换。</w:t>
      </w:r>
    </w:p>
    <w:p>
      <w:pPr>
        <w:numPr>
          <w:ilvl w:val="0"/>
          <w:numId w:val="9"/>
        </w:numPr>
      </w:pPr>
      <w:r>
        <w:rPr>
          <w:rFonts w:hint="eastAsia"/>
        </w:rPr>
        <w:t>验收前如临床需要增加体征采集功能，需要无条件增加</w:t>
      </w:r>
    </w:p>
    <w:p/>
    <w:p>
      <w:pPr>
        <w:pStyle w:val="4"/>
        <w:numPr>
          <w:ilvl w:val="0"/>
          <w:numId w:val="1"/>
        </w:numPr>
        <w:rPr>
          <w:b/>
          <w:bCs/>
          <w:sz w:val="28"/>
          <w:szCs w:val="28"/>
        </w:rPr>
      </w:pPr>
      <w:r>
        <w:rPr>
          <w:rFonts w:hint="eastAsia"/>
          <w:b/>
          <w:bCs/>
          <w:sz w:val="28"/>
          <w:szCs w:val="28"/>
        </w:rPr>
        <w:t>评分标准</w:t>
      </w:r>
    </w:p>
    <w:p/>
    <w:tbl>
      <w:tblPr>
        <w:tblStyle w:val="47"/>
        <w:tblW w:w="88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418"/>
        <w:gridCol w:w="992"/>
        <w:gridCol w:w="5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7"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序号</w:t>
            </w:r>
          </w:p>
        </w:tc>
        <w:tc>
          <w:tcPr>
            <w:tcW w:w="1418"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评分项目</w:t>
            </w:r>
          </w:p>
        </w:tc>
        <w:tc>
          <w:tcPr>
            <w:tcW w:w="992"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满分值</w:t>
            </w:r>
          </w:p>
        </w:tc>
        <w:tc>
          <w:tcPr>
            <w:tcW w:w="5605"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评分内容及标准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1</w:t>
            </w:r>
          </w:p>
        </w:tc>
        <w:tc>
          <w:tcPr>
            <w:tcW w:w="1418" w:type="dxa"/>
            <w:vAlign w:val="center"/>
          </w:tcPr>
          <w:p>
            <w:pPr>
              <w:jc w:val="center"/>
              <w:rPr>
                <w:rFonts w:asciiTheme="minorEastAsia" w:hAnsiTheme="minorEastAsia" w:eastAsiaTheme="minorEastAsia"/>
                <w:b/>
                <w:szCs w:val="21"/>
              </w:rPr>
            </w:pPr>
            <w:r>
              <w:rPr>
                <w:rFonts w:asciiTheme="minorEastAsia" w:hAnsiTheme="minorEastAsia" w:eastAsiaTheme="minorEastAsia"/>
                <w:b/>
                <w:szCs w:val="21"/>
              </w:rPr>
              <w:t>商务标得分</w:t>
            </w:r>
          </w:p>
        </w:tc>
        <w:tc>
          <w:tcPr>
            <w:tcW w:w="992" w:type="dxa"/>
            <w:vAlign w:val="center"/>
          </w:tcPr>
          <w:p>
            <w:pPr>
              <w:jc w:val="center"/>
              <w:rPr>
                <w:rFonts w:asciiTheme="minorEastAsia" w:hAnsiTheme="minorEastAsia" w:eastAsiaTheme="minorEastAsia"/>
                <w:szCs w:val="21"/>
              </w:rPr>
            </w:pPr>
            <w:r>
              <w:rPr>
                <w:rFonts w:asciiTheme="minorEastAsia" w:hAnsiTheme="minorEastAsia" w:eastAsiaTheme="minorEastAsia"/>
                <w:szCs w:val="21"/>
              </w:rPr>
              <w:t>30 分</w:t>
            </w:r>
          </w:p>
        </w:tc>
        <w:tc>
          <w:tcPr>
            <w:tcW w:w="5605" w:type="dxa"/>
          </w:tcPr>
          <w:p>
            <w:pPr>
              <w:rPr>
                <w:rFonts w:asciiTheme="minorEastAsia" w:hAnsiTheme="minorEastAsia" w:eastAsiaTheme="minorEastAsia"/>
                <w:szCs w:val="21"/>
              </w:rPr>
            </w:pPr>
            <w:r>
              <w:rPr>
                <w:rFonts w:hint="eastAsia" w:asciiTheme="minorEastAsia" w:hAnsiTheme="minorEastAsia" w:eastAsiaTheme="minorEastAsia"/>
                <w:szCs w:val="21"/>
              </w:rPr>
              <w:t>以通过评审标准的投标人的有效最低总投标价为评标基准价，得满分 30 分，其余投标人的商务标得分均按照以下方式计算：商务标得分=（评标基准价/投标人的总投标价）×30%×100。（小数点后面保留两位小数，第三位四舍五入）。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418" w:type="dxa"/>
            <w:vAlign w:val="center"/>
          </w:tcPr>
          <w:p>
            <w:pPr>
              <w:jc w:val="center"/>
              <w:rPr>
                <w:rFonts w:asciiTheme="minorEastAsia" w:hAnsiTheme="minorEastAsia" w:eastAsiaTheme="minorEastAsia"/>
                <w:b/>
                <w:szCs w:val="21"/>
              </w:rPr>
            </w:pPr>
            <w:r>
              <w:rPr>
                <w:rFonts w:hint="eastAsia" w:asciiTheme="minorEastAsia" w:hAnsiTheme="minorEastAsia" w:eastAsiaTheme="minorEastAsia"/>
                <w:b/>
                <w:szCs w:val="21"/>
              </w:rPr>
              <w:t>技术指标响</w:t>
            </w:r>
          </w:p>
          <w:p>
            <w:pPr>
              <w:jc w:val="center"/>
              <w:rPr>
                <w:rFonts w:asciiTheme="minorEastAsia" w:hAnsiTheme="minorEastAsia" w:eastAsiaTheme="minorEastAsia"/>
                <w:b/>
                <w:szCs w:val="21"/>
              </w:rPr>
            </w:pPr>
            <w:r>
              <w:rPr>
                <w:rFonts w:hint="eastAsia" w:asciiTheme="minorEastAsia" w:hAnsiTheme="minorEastAsia" w:eastAsiaTheme="minorEastAsia"/>
                <w:b/>
                <w:szCs w:val="21"/>
              </w:rPr>
              <w:t>应情况</w:t>
            </w:r>
          </w:p>
        </w:tc>
        <w:tc>
          <w:tcPr>
            <w:tcW w:w="992"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40分</w:t>
            </w:r>
          </w:p>
        </w:tc>
        <w:tc>
          <w:tcPr>
            <w:tcW w:w="5605" w:type="dxa"/>
          </w:tcPr>
          <w:p>
            <w:pPr>
              <w:rPr>
                <w:rFonts w:asciiTheme="minorEastAsia" w:hAnsiTheme="minorEastAsia" w:eastAsiaTheme="minorEastAsia"/>
                <w:szCs w:val="21"/>
              </w:rPr>
            </w:pPr>
            <w:r>
              <w:rPr>
                <w:rFonts w:hint="eastAsia" w:asciiTheme="minorEastAsia" w:hAnsiTheme="minorEastAsia" w:eastAsiaTheme="minorEastAsia"/>
                <w:szCs w:val="21"/>
              </w:rPr>
              <w:t>1、用“▲”标注的技术参数满足招标文件要求且提供相关技术证明文件（包括第三方检验报告、产品使用说明书、产品彩页、产品界面截图）予以证明，“▲”标注的技术参数若有负偏离，则扣 5分/项，扣完为止，本项目满分为 30分。</w:t>
            </w:r>
          </w:p>
          <w:p>
            <w:pPr>
              <w:rPr>
                <w:rFonts w:asciiTheme="minorEastAsia" w:hAnsiTheme="minorEastAsia" w:eastAsiaTheme="minorEastAsia"/>
                <w:szCs w:val="21"/>
              </w:rPr>
            </w:pPr>
            <w:r>
              <w:rPr>
                <w:rFonts w:hint="eastAsia" w:asciiTheme="minorEastAsia" w:hAnsiTheme="minorEastAsia" w:eastAsiaTheme="minorEastAsia"/>
                <w:szCs w:val="21"/>
              </w:rPr>
              <w:t>2、未用“▲”标注的技术参数的基准分 10 分,全部满足得基准分 10 分。未用“▲”标注的技术参数若有负偏离，则在基准分基础上扣 1 分/项，扣完为止。</w:t>
            </w:r>
          </w:p>
          <w:p>
            <w:pPr>
              <w:rPr>
                <w:rFonts w:asciiTheme="minorEastAsia" w:hAnsiTheme="minorEastAsia" w:eastAsiaTheme="minorEastAsia"/>
                <w:szCs w:val="21"/>
              </w:rPr>
            </w:pPr>
            <w:r>
              <w:rPr>
                <w:rFonts w:hint="eastAsia" w:asciiTheme="minorEastAsia" w:hAnsiTheme="minorEastAsia" w:eastAsiaTheme="minorEastAsia"/>
                <w:szCs w:val="21"/>
              </w:rPr>
              <w:t>注：投标人对未用“▲”标注的技术参数出现重大负偏离影响设备性能的，经半数以上评标委员会成员认定，本小项得 0 分。</w:t>
            </w:r>
          </w:p>
          <w:p>
            <w:pPr>
              <w:rPr>
                <w:rFonts w:asciiTheme="minorEastAsia" w:hAnsiTheme="minorEastAsia" w:eastAsiaTheme="minorEastAsia"/>
                <w:szCs w:val="21"/>
              </w:rPr>
            </w:pPr>
            <w:r>
              <w:rPr>
                <w:rFonts w:hint="eastAsia" w:asciiTheme="minorEastAsia" w:hAnsiTheme="minorEastAsia" w:eastAsiaTheme="minorEastAsia"/>
                <w:szCs w:val="21"/>
              </w:rPr>
              <w:t>3、满足前两款要求，但是不满足或不能承诺满足“</w:t>
            </w:r>
            <w:r>
              <w:rPr>
                <w:rFonts w:hint="eastAsia" w:ascii="宋体" w:hAnsi="宋体" w:cs="宋体"/>
                <w:kern w:val="0"/>
                <w:sz w:val="24"/>
              </w:rPr>
              <w:t>★</w:t>
            </w:r>
            <w:r>
              <w:rPr>
                <w:rFonts w:hint="eastAsia" w:asciiTheme="minorEastAsia" w:hAnsiTheme="minorEastAsia" w:eastAsiaTheme="minorEastAsia"/>
                <w:szCs w:val="21"/>
              </w:rPr>
              <w:t>”项的，每项扣减10分，扣完为止，且如中标，则招标方有权不支付所有未支付款项。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418" w:type="dxa"/>
            <w:vAlign w:val="center"/>
          </w:tcPr>
          <w:p>
            <w:pPr>
              <w:snapToGrid w:val="0"/>
              <w:jc w:val="center"/>
              <w:rPr>
                <w:rFonts w:asciiTheme="minorEastAsia" w:hAnsiTheme="minorEastAsia" w:eastAsiaTheme="minorEastAsia"/>
                <w:b/>
                <w:szCs w:val="21"/>
              </w:rPr>
            </w:pPr>
            <w:r>
              <w:rPr>
                <w:rFonts w:hint="eastAsia" w:cs="MS Mincho" w:asciiTheme="minorEastAsia" w:hAnsiTheme="minorEastAsia" w:eastAsiaTheme="minorEastAsia"/>
                <w:b/>
                <w:szCs w:val="21"/>
              </w:rPr>
              <w:t>产品拓展性</w:t>
            </w:r>
          </w:p>
        </w:tc>
        <w:tc>
          <w:tcPr>
            <w:tcW w:w="992"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szCs w:val="21"/>
              </w:rPr>
              <w:t>16</w:t>
            </w:r>
            <w:r>
              <w:rPr>
                <w:rFonts w:cs="MS Mincho" w:asciiTheme="minorEastAsia" w:hAnsiTheme="minorEastAsia" w:eastAsiaTheme="minorEastAsia"/>
                <w:szCs w:val="21"/>
              </w:rPr>
              <w:t>分</w:t>
            </w:r>
          </w:p>
        </w:tc>
        <w:tc>
          <w:tcPr>
            <w:tcW w:w="5605" w:type="dxa"/>
          </w:tcPr>
          <w:p>
            <w:pPr>
              <w:numPr>
                <w:ilvl w:val="0"/>
                <w:numId w:val="10"/>
              </w:numPr>
              <w:jc w:val="left"/>
              <w:rPr>
                <w:rFonts w:asciiTheme="minorEastAsia" w:hAnsiTheme="minorEastAsia" w:eastAsiaTheme="minorEastAsia"/>
                <w:szCs w:val="21"/>
              </w:rPr>
            </w:pPr>
            <w:r>
              <w:rPr>
                <w:rFonts w:hint="eastAsia" w:asciiTheme="minorEastAsia" w:hAnsiTheme="minorEastAsia" w:eastAsiaTheme="minorEastAsia"/>
                <w:szCs w:val="21"/>
              </w:rPr>
              <w:t>移动护理管理终端与体征采集手持终端合而为之一的，得4分，分两个设备的此条不得分。</w:t>
            </w:r>
          </w:p>
          <w:p>
            <w:pPr>
              <w:numPr>
                <w:ilvl w:val="0"/>
                <w:numId w:val="10"/>
              </w:numPr>
              <w:rPr>
                <w:rFonts w:asciiTheme="minorEastAsia" w:hAnsiTheme="minorEastAsia" w:eastAsiaTheme="minorEastAsia"/>
                <w:szCs w:val="21"/>
              </w:rPr>
            </w:pPr>
            <w:r>
              <w:rPr>
                <w:rFonts w:hint="eastAsia" w:asciiTheme="minorEastAsia" w:hAnsiTheme="minorEastAsia" w:eastAsiaTheme="minorEastAsia"/>
                <w:szCs w:val="21"/>
              </w:rPr>
              <w:t>移动护理管理终端支持</w:t>
            </w:r>
            <w:r>
              <w:rPr>
                <w:rFonts w:hint="eastAsia"/>
              </w:rPr>
              <w:t>R</w:t>
            </w:r>
            <w:r>
              <w:t>FID</w:t>
            </w:r>
            <w:r>
              <w:rPr>
                <w:rFonts w:hint="eastAsia"/>
              </w:rPr>
              <w:t>+激光扫码双识别模式的，得4分，不支持的不得分</w:t>
            </w:r>
          </w:p>
          <w:p>
            <w:pPr>
              <w:numPr>
                <w:ilvl w:val="0"/>
                <w:numId w:val="10"/>
              </w:numPr>
              <w:rPr>
                <w:rFonts w:asciiTheme="minorEastAsia" w:hAnsiTheme="minorEastAsia" w:eastAsiaTheme="minorEastAsia"/>
                <w:szCs w:val="21"/>
              </w:rPr>
            </w:pPr>
            <w:r>
              <w:rPr>
                <w:rFonts w:hint="eastAsia" w:asciiTheme="minorEastAsia" w:hAnsiTheme="minorEastAsia" w:eastAsiaTheme="minorEastAsia"/>
                <w:szCs w:val="21"/>
              </w:rPr>
              <w:t>移动护理管理系统支持第三方系统嵌入的，得5分，不支持的不得分。</w:t>
            </w:r>
          </w:p>
          <w:p>
            <w:pPr>
              <w:numPr>
                <w:ilvl w:val="0"/>
                <w:numId w:val="10"/>
              </w:numPr>
              <w:rPr>
                <w:rFonts w:asciiTheme="minorEastAsia" w:hAnsiTheme="minorEastAsia" w:eastAsiaTheme="minorEastAsia"/>
                <w:szCs w:val="21"/>
              </w:rPr>
            </w:pPr>
            <w:r>
              <w:rPr>
                <w:rFonts w:hint="eastAsia" w:asciiTheme="minorEastAsia" w:hAnsiTheme="minorEastAsia" w:eastAsiaTheme="minorEastAsia"/>
                <w:szCs w:val="21"/>
              </w:rPr>
              <w:t>腕带支持水控等系统拓展的，得3分，不支持的不得分。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418" w:type="dxa"/>
            <w:vAlign w:val="center"/>
          </w:tcPr>
          <w:p>
            <w:pPr>
              <w:snapToGrid w:val="0"/>
              <w:jc w:val="center"/>
              <w:rPr>
                <w:rFonts w:asciiTheme="minorEastAsia" w:hAnsiTheme="minorEastAsia" w:eastAsiaTheme="minorEastAsia"/>
                <w:b/>
                <w:szCs w:val="21"/>
              </w:rPr>
            </w:pPr>
            <w:r>
              <w:rPr>
                <w:rFonts w:hint="eastAsia" w:asciiTheme="minorEastAsia" w:hAnsiTheme="minorEastAsia" w:eastAsiaTheme="minorEastAsia"/>
                <w:b/>
                <w:szCs w:val="21"/>
              </w:rPr>
              <w:t>同类业绩</w:t>
            </w:r>
          </w:p>
        </w:tc>
        <w:tc>
          <w:tcPr>
            <w:tcW w:w="992"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9分</w:t>
            </w:r>
          </w:p>
        </w:tc>
        <w:tc>
          <w:tcPr>
            <w:tcW w:w="5605" w:type="dxa"/>
          </w:tcPr>
          <w:p>
            <w:pPr>
              <w:numPr>
                <w:ilvl w:val="0"/>
                <w:numId w:val="11"/>
              </w:numPr>
              <w:rPr>
                <w:rFonts w:asciiTheme="minorEastAsia" w:hAnsiTheme="minorEastAsia" w:eastAsiaTheme="minorEastAsia"/>
                <w:szCs w:val="21"/>
              </w:rPr>
            </w:pPr>
            <w:r>
              <w:rPr>
                <w:rFonts w:hint="eastAsia" w:asciiTheme="minorEastAsia" w:hAnsiTheme="minorEastAsia" w:eastAsiaTheme="minorEastAsia"/>
                <w:szCs w:val="21"/>
              </w:rPr>
              <w:t>提供所投产品（自</w:t>
            </w:r>
            <w:r>
              <w:rPr>
                <w:rFonts w:asciiTheme="minorEastAsia" w:hAnsiTheme="minorEastAsia" w:eastAsiaTheme="minorEastAsia"/>
                <w:szCs w:val="21"/>
              </w:rPr>
              <w:t>201</w:t>
            </w:r>
            <w:r>
              <w:rPr>
                <w:rFonts w:hint="eastAsia" w:asciiTheme="minorEastAsia" w:hAnsiTheme="minorEastAsia" w:eastAsiaTheme="minorEastAsia"/>
                <w:szCs w:val="21"/>
              </w:rPr>
              <w:t>6年1月1日起，以合同签订时间为准）在三甲医院使用案例，必须提供合同首页、签字盖章页、项目验收报告作为证明。每个得1分，最高5分，未提供不得分。</w:t>
            </w:r>
          </w:p>
          <w:p>
            <w:pPr>
              <w:numPr>
                <w:ilvl w:val="0"/>
                <w:numId w:val="11"/>
              </w:numPr>
              <w:rPr>
                <w:rFonts w:asciiTheme="minorEastAsia" w:hAnsiTheme="minorEastAsia" w:eastAsiaTheme="minorEastAsia"/>
                <w:szCs w:val="21"/>
              </w:rPr>
            </w:pPr>
            <w:r>
              <w:rPr>
                <w:rFonts w:hint="eastAsia" w:asciiTheme="minorEastAsia" w:hAnsiTheme="minorEastAsia" w:eastAsiaTheme="minorEastAsia"/>
                <w:szCs w:val="21"/>
              </w:rPr>
              <w:t>提供所投产品（自</w:t>
            </w:r>
            <w:r>
              <w:rPr>
                <w:rFonts w:asciiTheme="minorEastAsia" w:hAnsiTheme="minorEastAsia" w:eastAsiaTheme="minorEastAsia"/>
                <w:szCs w:val="21"/>
              </w:rPr>
              <w:t>201</w:t>
            </w:r>
            <w:r>
              <w:rPr>
                <w:rFonts w:hint="eastAsia" w:asciiTheme="minorEastAsia" w:hAnsiTheme="minorEastAsia" w:eastAsiaTheme="minorEastAsia"/>
                <w:szCs w:val="21"/>
              </w:rPr>
              <w:t>6年1月1日起，以合同签订时间为准）通过</w:t>
            </w:r>
            <w:r>
              <w:rPr>
                <w:rFonts w:asciiTheme="minorEastAsia" w:hAnsiTheme="minorEastAsia" w:eastAsiaTheme="minorEastAsia"/>
                <w:szCs w:val="21"/>
              </w:rPr>
              <w:t>电子病历系统功能应用水平分级测评</w:t>
            </w:r>
            <w:r>
              <w:rPr>
                <w:rFonts w:hint="eastAsia" w:asciiTheme="minorEastAsia" w:hAnsiTheme="minorEastAsia" w:eastAsiaTheme="minorEastAsia"/>
                <w:szCs w:val="21"/>
              </w:rPr>
              <w:t>六级或互联互通测评四甲（及以上）医院用户名单及其相关证明材料，每个得1分，最高4分，未提供不得分。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418" w:type="dxa"/>
            <w:vAlign w:val="center"/>
          </w:tcPr>
          <w:p>
            <w:pPr>
              <w:snapToGrid w:val="0"/>
              <w:jc w:val="center"/>
              <w:rPr>
                <w:rFonts w:asciiTheme="minorEastAsia" w:hAnsiTheme="minorEastAsia" w:eastAsiaTheme="minorEastAsia"/>
                <w:b/>
                <w:szCs w:val="21"/>
              </w:rPr>
            </w:pPr>
            <w:r>
              <w:rPr>
                <w:rFonts w:hint="eastAsia" w:asciiTheme="minorEastAsia" w:hAnsiTheme="minorEastAsia" w:eastAsiaTheme="minorEastAsia"/>
                <w:b/>
                <w:szCs w:val="21"/>
              </w:rPr>
              <w:t>施工及售后服务</w:t>
            </w:r>
          </w:p>
        </w:tc>
        <w:tc>
          <w:tcPr>
            <w:tcW w:w="992" w:type="dxa"/>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5分</w:t>
            </w:r>
          </w:p>
        </w:tc>
        <w:tc>
          <w:tcPr>
            <w:tcW w:w="5605" w:type="dxa"/>
          </w:tcPr>
          <w:p>
            <w:pPr>
              <w:rPr>
                <w:rFonts w:asciiTheme="minorEastAsia" w:hAnsiTheme="minorEastAsia" w:eastAsiaTheme="minorEastAsia"/>
                <w:szCs w:val="21"/>
              </w:rPr>
            </w:pPr>
            <w:r>
              <w:rPr>
                <w:rFonts w:hint="eastAsia" w:asciiTheme="minorEastAsia" w:hAnsiTheme="minorEastAsia" w:eastAsiaTheme="minorEastAsia"/>
                <w:szCs w:val="21"/>
              </w:rPr>
              <w:t>1、施工期，低于3名驻场工程师或项目经理没有的信息系统高级项目管理师的不得分；免费维保期，低于1名驻场工程师的不得分；每增加一人得1分，满分2分。</w:t>
            </w:r>
          </w:p>
          <w:p>
            <w:pPr>
              <w:rPr>
                <w:rFonts w:asciiTheme="minorEastAsia" w:hAnsiTheme="minorEastAsia" w:eastAsiaTheme="minorEastAsia"/>
                <w:szCs w:val="21"/>
              </w:rPr>
            </w:pPr>
            <w:r>
              <w:rPr>
                <w:rFonts w:hint="eastAsia" w:asciiTheme="minorEastAsia" w:hAnsiTheme="minorEastAsia" w:eastAsiaTheme="minorEastAsia"/>
                <w:szCs w:val="21"/>
              </w:rPr>
              <w:t>3、维保期内设备返修期间免费提供备件，不能提供者不得分；可提供者得3分。</w:t>
            </w:r>
          </w:p>
        </w:tc>
      </w:tr>
    </w:tbl>
    <w:p/>
    <w:sectPr>
      <w:footerReference r:id="rId4" w:type="first"/>
      <w:footerReference r:id="rId3" w:type="default"/>
      <w:pgSz w:w="11850" w:h="16783"/>
      <w:pgMar w:top="1440" w:right="1417" w:bottom="936" w:left="1797" w:header="720" w:footer="720" w:gutter="0"/>
      <w:pgNumType w:fmt="numberInDash"/>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Tms Rmn">
    <w:altName w:val="Times New Roman"/>
    <w:panose1 w:val="02020603040505020304"/>
    <w:charset w:val="00"/>
    <w:family w:val="roman"/>
    <w:pitch w:val="default"/>
    <w:sig w:usb0="00000000" w:usb1="00000000" w:usb2="00000000" w:usb3="00000000" w:csb0="00000001" w:csb1="00000000"/>
  </w:font>
  <w:font w:name="Optima">
    <w:altName w:val="MS Gothic"/>
    <w:panose1 w:val="00000000000000000000"/>
    <w:charset w:val="00"/>
    <w:family w:val="swiss"/>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roman"/>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0"/>
                            <w:rPr>
                              <w:rStyle w:val="51"/>
                            </w:rPr>
                          </w:pPr>
                          <w:r>
                            <w:fldChar w:fldCharType="begin"/>
                          </w:r>
                          <w:r>
                            <w:rPr>
                              <w:rStyle w:val="51"/>
                            </w:rPr>
                            <w:instrText xml:space="preserve">PAGE  </w:instrText>
                          </w:r>
                          <w:r>
                            <w:fldChar w:fldCharType="separate"/>
                          </w:r>
                          <w:r>
                            <w:rPr>
                              <w:rStyle w:val="51"/>
                            </w:rPr>
                            <w:t>- 4 -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pPr>
                      <w:pStyle w:val="30"/>
                      <w:rPr>
                        <w:rStyle w:val="51"/>
                      </w:rPr>
                    </w:pPr>
                    <w:r>
                      <w:fldChar w:fldCharType="begin"/>
                    </w:r>
                    <w:r>
                      <w:rPr>
                        <w:rStyle w:val="51"/>
                      </w:rPr>
                      <w:instrText xml:space="preserve">PAGE  </w:instrText>
                    </w:r>
                    <w:r>
                      <w:fldChar w:fldCharType="separate"/>
                    </w:r>
                    <w:r>
                      <w:rPr>
                        <w:rStyle w:val="51"/>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1C020A"/>
    <w:multiLevelType w:val="singleLevel"/>
    <w:tmpl w:val="841C020A"/>
    <w:lvl w:ilvl="0" w:tentative="0">
      <w:start w:val="1"/>
      <w:numFmt w:val="decimal"/>
      <w:suff w:val="nothing"/>
      <w:lvlText w:val="%1、"/>
      <w:lvlJc w:val="left"/>
    </w:lvl>
  </w:abstractNum>
  <w:abstractNum w:abstractNumId="1">
    <w:nsid w:val="9228C8D8"/>
    <w:multiLevelType w:val="singleLevel"/>
    <w:tmpl w:val="9228C8D8"/>
    <w:lvl w:ilvl="0" w:tentative="0">
      <w:start w:val="1"/>
      <w:numFmt w:val="decimal"/>
      <w:lvlText w:val="%1."/>
      <w:lvlJc w:val="left"/>
      <w:pPr>
        <w:ind w:left="425" w:hanging="425"/>
      </w:pPr>
      <w:rPr>
        <w:rFonts w:hint="default"/>
      </w:rPr>
    </w:lvl>
  </w:abstractNum>
  <w:abstractNum w:abstractNumId="2">
    <w:nsid w:val="927B2BF1"/>
    <w:multiLevelType w:val="singleLevel"/>
    <w:tmpl w:val="927B2BF1"/>
    <w:lvl w:ilvl="0" w:tentative="0">
      <w:start w:val="1"/>
      <w:numFmt w:val="decimal"/>
      <w:lvlText w:val="%1."/>
      <w:lvlJc w:val="left"/>
      <w:pPr>
        <w:ind w:left="425" w:hanging="425"/>
      </w:pPr>
      <w:rPr>
        <w:rFonts w:hint="default"/>
      </w:rPr>
    </w:lvl>
  </w:abstractNum>
  <w:abstractNum w:abstractNumId="3">
    <w:nsid w:val="B289A549"/>
    <w:multiLevelType w:val="singleLevel"/>
    <w:tmpl w:val="B289A549"/>
    <w:lvl w:ilvl="0" w:tentative="0">
      <w:start w:val="1"/>
      <w:numFmt w:val="decimal"/>
      <w:lvlText w:val="%1."/>
      <w:lvlJc w:val="left"/>
      <w:pPr>
        <w:ind w:left="425" w:hanging="425"/>
      </w:pPr>
      <w:rPr>
        <w:rFonts w:hint="default"/>
      </w:rPr>
    </w:lvl>
  </w:abstractNum>
  <w:abstractNum w:abstractNumId="4">
    <w:nsid w:val="CC7CB2FE"/>
    <w:multiLevelType w:val="singleLevel"/>
    <w:tmpl w:val="CC7CB2FE"/>
    <w:lvl w:ilvl="0" w:tentative="0">
      <w:start w:val="1"/>
      <w:numFmt w:val="chineseCounting"/>
      <w:suff w:val="nothing"/>
      <w:lvlText w:val="%1、"/>
      <w:lvlJc w:val="left"/>
      <w:pPr>
        <w:ind w:left="0" w:firstLine="420"/>
      </w:pPr>
      <w:rPr>
        <w:rFonts w:hint="eastAsia"/>
      </w:rPr>
    </w:lvl>
  </w:abstractNum>
  <w:abstractNum w:abstractNumId="5">
    <w:nsid w:val="DF45B941"/>
    <w:multiLevelType w:val="singleLevel"/>
    <w:tmpl w:val="DF45B941"/>
    <w:lvl w:ilvl="0" w:tentative="0">
      <w:start w:val="1"/>
      <w:numFmt w:val="decimal"/>
      <w:lvlText w:val="%1)"/>
      <w:lvlJc w:val="left"/>
      <w:pPr>
        <w:ind w:left="425" w:hanging="425"/>
      </w:pPr>
      <w:rPr>
        <w:rFonts w:hint="default"/>
      </w:rPr>
    </w:lvl>
  </w:abstractNum>
  <w:abstractNum w:abstractNumId="6">
    <w:nsid w:val="07AB8C10"/>
    <w:multiLevelType w:val="singleLevel"/>
    <w:tmpl w:val="07AB8C10"/>
    <w:lvl w:ilvl="0" w:tentative="0">
      <w:start w:val="1"/>
      <w:numFmt w:val="decimal"/>
      <w:suff w:val="nothing"/>
      <w:lvlText w:val="%1、"/>
      <w:lvlJc w:val="left"/>
    </w:lvl>
  </w:abstractNum>
  <w:abstractNum w:abstractNumId="7">
    <w:nsid w:val="11F36B4B"/>
    <w:multiLevelType w:val="singleLevel"/>
    <w:tmpl w:val="11F36B4B"/>
    <w:lvl w:ilvl="0" w:tentative="0">
      <w:start w:val="1"/>
      <w:numFmt w:val="decimal"/>
      <w:lvlText w:val="%1."/>
      <w:lvlJc w:val="left"/>
      <w:pPr>
        <w:ind w:left="425" w:hanging="425"/>
      </w:pPr>
      <w:rPr>
        <w:rFonts w:hint="default"/>
      </w:rPr>
    </w:lvl>
  </w:abstractNum>
  <w:abstractNum w:abstractNumId="8">
    <w:nsid w:val="51C65096"/>
    <w:multiLevelType w:val="multilevel"/>
    <w:tmpl w:val="51C65096"/>
    <w:lvl w:ilvl="0" w:tentative="0">
      <w:start w:val="1"/>
      <w:numFmt w:val="japaneseCounting"/>
      <w:lvlText w:val="%1、"/>
      <w:lvlJc w:val="left"/>
      <w:pPr>
        <w:ind w:left="456" w:hanging="45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3CA6096"/>
    <w:multiLevelType w:val="singleLevel"/>
    <w:tmpl w:val="53CA6096"/>
    <w:lvl w:ilvl="0" w:tentative="0">
      <w:start w:val="1"/>
      <w:numFmt w:val="decimal"/>
      <w:lvlText w:val="%1."/>
      <w:lvlJc w:val="left"/>
      <w:pPr>
        <w:ind w:left="425" w:hanging="425"/>
      </w:pPr>
      <w:rPr>
        <w:rFonts w:hint="default"/>
      </w:rPr>
    </w:lvl>
  </w:abstractNum>
  <w:abstractNum w:abstractNumId="10">
    <w:nsid w:val="5E0388D1"/>
    <w:multiLevelType w:val="singleLevel"/>
    <w:tmpl w:val="5E0388D1"/>
    <w:lvl w:ilvl="0" w:tentative="0">
      <w:start w:val="1"/>
      <w:numFmt w:val="decimal"/>
      <w:lvlText w:val="%1."/>
      <w:lvlJc w:val="left"/>
      <w:pPr>
        <w:ind w:left="425" w:hanging="425"/>
      </w:pPr>
      <w:rPr>
        <w:rFonts w:hint="default"/>
      </w:rPr>
    </w:lvl>
  </w:abstractNum>
  <w:num w:numId="1">
    <w:abstractNumId w:val="8"/>
  </w:num>
  <w:num w:numId="2">
    <w:abstractNumId w:val="2"/>
  </w:num>
  <w:num w:numId="3">
    <w:abstractNumId w:val="5"/>
  </w:num>
  <w:num w:numId="4">
    <w:abstractNumId w:val="3"/>
  </w:num>
  <w:num w:numId="5">
    <w:abstractNumId w:val="10"/>
  </w:num>
  <w:num w:numId="6">
    <w:abstractNumId w:val="4"/>
  </w:num>
  <w:num w:numId="7">
    <w:abstractNumId w:val="9"/>
  </w:num>
  <w:num w:numId="8">
    <w:abstractNumId w:val="1"/>
  </w:num>
  <w:num w:numId="9">
    <w:abstractNumId w:val="7"/>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AAF"/>
    <w:rsid w:val="00101068"/>
    <w:rsid w:val="0017081B"/>
    <w:rsid w:val="001741B3"/>
    <w:rsid w:val="003755E2"/>
    <w:rsid w:val="003B0CA5"/>
    <w:rsid w:val="003B625F"/>
    <w:rsid w:val="003F5E44"/>
    <w:rsid w:val="00413B93"/>
    <w:rsid w:val="004835B6"/>
    <w:rsid w:val="004B2CC5"/>
    <w:rsid w:val="0058548C"/>
    <w:rsid w:val="00587218"/>
    <w:rsid w:val="00595AAF"/>
    <w:rsid w:val="00620663"/>
    <w:rsid w:val="00630611"/>
    <w:rsid w:val="006942EB"/>
    <w:rsid w:val="008C7B5F"/>
    <w:rsid w:val="00953922"/>
    <w:rsid w:val="00967DD5"/>
    <w:rsid w:val="00A248F1"/>
    <w:rsid w:val="00A96648"/>
    <w:rsid w:val="00B46365"/>
    <w:rsid w:val="00B979B5"/>
    <w:rsid w:val="00BC7A69"/>
    <w:rsid w:val="00CB6338"/>
    <w:rsid w:val="00D52EF1"/>
    <w:rsid w:val="00DB0545"/>
    <w:rsid w:val="00E32F57"/>
    <w:rsid w:val="00E64D1F"/>
    <w:rsid w:val="00E80169"/>
    <w:rsid w:val="00F2574B"/>
    <w:rsid w:val="0119057F"/>
    <w:rsid w:val="01A9133F"/>
    <w:rsid w:val="023B5C13"/>
    <w:rsid w:val="02D91471"/>
    <w:rsid w:val="03083896"/>
    <w:rsid w:val="03B375A1"/>
    <w:rsid w:val="03D0120B"/>
    <w:rsid w:val="04110806"/>
    <w:rsid w:val="046D4A66"/>
    <w:rsid w:val="0496695B"/>
    <w:rsid w:val="06271B63"/>
    <w:rsid w:val="0646283D"/>
    <w:rsid w:val="067355C2"/>
    <w:rsid w:val="06777D71"/>
    <w:rsid w:val="068B084C"/>
    <w:rsid w:val="06FD16FA"/>
    <w:rsid w:val="0723609E"/>
    <w:rsid w:val="074B3147"/>
    <w:rsid w:val="076D68A8"/>
    <w:rsid w:val="07FF76EA"/>
    <w:rsid w:val="08317AA1"/>
    <w:rsid w:val="08CD6AE1"/>
    <w:rsid w:val="096C25ED"/>
    <w:rsid w:val="09793BE5"/>
    <w:rsid w:val="0A066270"/>
    <w:rsid w:val="0A442E10"/>
    <w:rsid w:val="0A966473"/>
    <w:rsid w:val="0AB268A8"/>
    <w:rsid w:val="0C401505"/>
    <w:rsid w:val="0CA74C79"/>
    <w:rsid w:val="0D3E2A3E"/>
    <w:rsid w:val="0D401244"/>
    <w:rsid w:val="0D5A20C3"/>
    <w:rsid w:val="0EC055E7"/>
    <w:rsid w:val="0EE3432E"/>
    <w:rsid w:val="0EE61F36"/>
    <w:rsid w:val="0F5539A4"/>
    <w:rsid w:val="103874EF"/>
    <w:rsid w:val="10957D24"/>
    <w:rsid w:val="11274896"/>
    <w:rsid w:val="137528E7"/>
    <w:rsid w:val="13E33850"/>
    <w:rsid w:val="14111216"/>
    <w:rsid w:val="148E3698"/>
    <w:rsid w:val="14C52D94"/>
    <w:rsid w:val="17EE4585"/>
    <w:rsid w:val="17EE559A"/>
    <w:rsid w:val="1931131B"/>
    <w:rsid w:val="1A2137A2"/>
    <w:rsid w:val="1B54346E"/>
    <w:rsid w:val="1DA54C45"/>
    <w:rsid w:val="1DC37BD9"/>
    <w:rsid w:val="1DC814CA"/>
    <w:rsid w:val="1DF033C7"/>
    <w:rsid w:val="1ED86AA7"/>
    <w:rsid w:val="1EFB1141"/>
    <w:rsid w:val="1F053BAE"/>
    <w:rsid w:val="1FB10EDC"/>
    <w:rsid w:val="1FC721DF"/>
    <w:rsid w:val="2004312B"/>
    <w:rsid w:val="207406AA"/>
    <w:rsid w:val="207467BF"/>
    <w:rsid w:val="20BA6502"/>
    <w:rsid w:val="214336E0"/>
    <w:rsid w:val="21550EE2"/>
    <w:rsid w:val="2249583A"/>
    <w:rsid w:val="226D372A"/>
    <w:rsid w:val="228722A0"/>
    <w:rsid w:val="22957C5D"/>
    <w:rsid w:val="229833AC"/>
    <w:rsid w:val="24014CFE"/>
    <w:rsid w:val="24443B55"/>
    <w:rsid w:val="256E48EA"/>
    <w:rsid w:val="2585046B"/>
    <w:rsid w:val="259233F1"/>
    <w:rsid w:val="25DB5588"/>
    <w:rsid w:val="26D44463"/>
    <w:rsid w:val="27632262"/>
    <w:rsid w:val="27710783"/>
    <w:rsid w:val="27C26A38"/>
    <w:rsid w:val="28236575"/>
    <w:rsid w:val="29552CA5"/>
    <w:rsid w:val="29705550"/>
    <w:rsid w:val="29B85420"/>
    <w:rsid w:val="2A233568"/>
    <w:rsid w:val="2B06340F"/>
    <w:rsid w:val="2D1C7AD7"/>
    <w:rsid w:val="2E8765CF"/>
    <w:rsid w:val="2F3C70FD"/>
    <w:rsid w:val="2F996852"/>
    <w:rsid w:val="30320881"/>
    <w:rsid w:val="30385DB6"/>
    <w:rsid w:val="307900CB"/>
    <w:rsid w:val="317510CA"/>
    <w:rsid w:val="31BD63F2"/>
    <w:rsid w:val="32070BD8"/>
    <w:rsid w:val="32CB0EDE"/>
    <w:rsid w:val="32DA7058"/>
    <w:rsid w:val="330D3AF1"/>
    <w:rsid w:val="33BD0179"/>
    <w:rsid w:val="347D5AC0"/>
    <w:rsid w:val="34B025E1"/>
    <w:rsid w:val="34EB2EA0"/>
    <w:rsid w:val="350D4C28"/>
    <w:rsid w:val="35790E30"/>
    <w:rsid w:val="35FB4C7B"/>
    <w:rsid w:val="367862D1"/>
    <w:rsid w:val="36B030CB"/>
    <w:rsid w:val="36EC452F"/>
    <w:rsid w:val="36ED17E1"/>
    <w:rsid w:val="378B4023"/>
    <w:rsid w:val="383E64D6"/>
    <w:rsid w:val="389B7E62"/>
    <w:rsid w:val="397F1B3E"/>
    <w:rsid w:val="39D54358"/>
    <w:rsid w:val="39DD5DBB"/>
    <w:rsid w:val="3B60444A"/>
    <w:rsid w:val="3BB13E14"/>
    <w:rsid w:val="3C1F0054"/>
    <w:rsid w:val="3CCF7F9B"/>
    <w:rsid w:val="3E707E37"/>
    <w:rsid w:val="3ED42026"/>
    <w:rsid w:val="3FE23DC0"/>
    <w:rsid w:val="40083656"/>
    <w:rsid w:val="402E2511"/>
    <w:rsid w:val="40CA62DF"/>
    <w:rsid w:val="41C63958"/>
    <w:rsid w:val="42C50494"/>
    <w:rsid w:val="4337681D"/>
    <w:rsid w:val="43CE481E"/>
    <w:rsid w:val="43EC304C"/>
    <w:rsid w:val="44F90076"/>
    <w:rsid w:val="45BF6CBB"/>
    <w:rsid w:val="460805F1"/>
    <w:rsid w:val="47050CDA"/>
    <w:rsid w:val="47A15B51"/>
    <w:rsid w:val="47DC1B94"/>
    <w:rsid w:val="47FE2D81"/>
    <w:rsid w:val="48366FB4"/>
    <w:rsid w:val="48933E04"/>
    <w:rsid w:val="48A715BB"/>
    <w:rsid w:val="48CB09AA"/>
    <w:rsid w:val="49A64A2E"/>
    <w:rsid w:val="4AA71E5A"/>
    <w:rsid w:val="4B550CD2"/>
    <w:rsid w:val="4B9E141E"/>
    <w:rsid w:val="4BF11C32"/>
    <w:rsid w:val="4C052795"/>
    <w:rsid w:val="4D006BF2"/>
    <w:rsid w:val="4D8D2A20"/>
    <w:rsid w:val="4DDB65D5"/>
    <w:rsid w:val="4ECC10E1"/>
    <w:rsid w:val="4F361D7E"/>
    <w:rsid w:val="4FEE2302"/>
    <w:rsid w:val="51340208"/>
    <w:rsid w:val="52C94582"/>
    <w:rsid w:val="52D31859"/>
    <w:rsid w:val="52FF515F"/>
    <w:rsid w:val="53073F21"/>
    <w:rsid w:val="532A6C37"/>
    <w:rsid w:val="53E72417"/>
    <w:rsid w:val="544F0236"/>
    <w:rsid w:val="545B1352"/>
    <w:rsid w:val="54C50C7B"/>
    <w:rsid w:val="54FA4FF9"/>
    <w:rsid w:val="55D93484"/>
    <w:rsid w:val="563B67C4"/>
    <w:rsid w:val="56AA1EC2"/>
    <w:rsid w:val="56D96861"/>
    <w:rsid w:val="575D5EA9"/>
    <w:rsid w:val="57C821E1"/>
    <w:rsid w:val="58057EE3"/>
    <w:rsid w:val="58F77566"/>
    <w:rsid w:val="59181CF0"/>
    <w:rsid w:val="591A0B63"/>
    <w:rsid w:val="5A165EBC"/>
    <w:rsid w:val="5A197737"/>
    <w:rsid w:val="5B8905E7"/>
    <w:rsid w:val="5BA03089"/>
    <w:rsid w:val="5C0A0796"/>
    <w:rsid w:val="5CA964B4"/>
    <w:rsid w:val="5DD36D5C"/>
    <w:rsid w:val="5E546A92"/>
    <w:rsid w:val="5EF6366F"/>
    <w:rsid w:val="5F965249"/>
    <w:rsid w:val="5FFF6F2A"/>
    <w:rsid w:val="60F536D8"/>
    <w:rsid w:val="62500918"/>
    <w:rsid w:val="63E40A46"/>
    <w:rsid w:val="644F61D0"/>
    <w:rsid w:val="65A97EA3"/>
    <w:rsid w:val="65C1272E"/>
    <w:rsid w:val="660A6EB5"/>
    <w:rsid w:val="66294C8D"/>
    <w:rsid w:val="662D4B76"/>
    <w:rsid w:val="66AF5060"/>
    <w:rsid w:val="67206C26"/>
    <w:rsid w:val="672D059C"/>
    <w:rsid w:val="6750387C"/>
    <w:rsid w:val="676B2641"/>
    <w:rsid w:val="69BC5F15"/>
    <w:rsid w:val="69D15E56"/>
    <w:rsid w:val="6A304271"/>
    <w:rsid w:val="6AA135B9"/>
    <w:rsid w:val="6AAD4617"/>
    <w:rsid w:val="6AC81115"/>
    <w:rsid w:val="6BAB3235"/>
    <w:rsid w:val="6D9C1BF5"/>
    <w:rsid w:val="6DB62E74"/>
    <w:rsid w:val="6DF4051E"/>
    <w:rsid w:val="6E50435B"/>
    <w:rsid w:val="6F1C593E"/>
    <w:rsid w:val="7108625D"/>
    <w:rsid w:val="714A7CCA"/>
    <w:rsid w:val="718C487C"/>
    <w:rsid w:val="71A63378"/>
    <w:rsid w:val="71FD6962"/>
    <w:rsid w:val="73284A3A"/>
    <w:rsid w:val="73557C2B"/>
    <w:rsid w:val="7393467C"/>
    <w:rsid w:val="741009D7"/>
    <w:rsid w:val="741D3285"/>
    <w:rsid w:val="74E27768"/>
    <w:rsid w:val="755A39F1"/>
    <w:rsid w:val="75992DAB"/>
    <w:rsid w:val="75DD0493"/>
    <w:rsid w:val="767217BB"/>
    <w:rsid w:val="779E3669"/>
    <w:rsid w:val="77FD7BA6"/>
    <w:rsid w:val="784303EC"/>
    <w:rsid w:val="78530677"/>
    <w:rsid w:val="787A001B"/>
    <w:rsid w:val="78843128"/>
    <w:rsid w:val="79A151BC"/>
    <w:rsid w:val="7A706DC2"/>
    <w:rsid w:val="7AB237C2"/>
    <w:rsid w:val="7AE73B85"/>
    <w:rsid w:val="7B4818B0"/>
    <w:rsid w:val="7BF01028"/>
    <w:rsid w:val="7C8E4D85"/>
    <w:rsid w:val="7D6375E9"/>
    <w:rsid w:val="7D7573DA"/>
    <w:rsid w:val="7E3D18DD"/>
    <w:rsid w:val="7EB4059C"/>
    <w:rsid w:val="7F1C5852"/>
    <w:rsid w:val="7F574A98"/>
    <w:rsid w:val="7FEA7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qFormat="1" w:unhideWhenUsed="0" w:uiPriority="0"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3"/>
    <w:link w:val="247"/>
    <w:qFormat/>
    <w:uiPriority w:val="0"/>
    <w:pPr>
      <w:spacing w:before="340" w:after="331"/>
      <w:jc w:val="center"/>
      <w:outlineLvl w:val="0"/>
    </w:pPr>
    <w:rPr>
      <w:rFonts w:eastAsia="宋体"/>
      <w:b/>
      <w:sz w:val="44"/>
      <w:szCs w:val="24"/>
    </w:rPr>
  </w:style>
  <w:style w:type="paragraph" w:styleId="4">
    <w:name w:val="heading 2"/>
    <w:basedOn w:val="1"/>
    <w:next w:val="1"/>
    <w:link w:val="186"/>
    <w:qFormat/>
    <w:uiPriority w:val="0"/>
    <w:pPr>
      <w:spacing w:before="240"/>
      <w:outlineLvl w:val="1"/>
    </w:pPr>
    <w:rPr>
      <w:kern w:val="0"/>
      <w:sz w:val="20"/>
    </w:rPr>
  </w:style>
  <w:style w:type="paragraph" w:styleId="5">
    <w:name w:val="heading 3"/>
    <w:basedOn w:val="1"/>
    <w:next w:val="1"/>
    <w:link w:val="204"/>
    <w:qFormat/>
    <w:uiPriority w:val="0"/>
    <w:pPr>
      <w:keepNext/>
      <w:keepLines/>
      <w:spacing w:before="260" w:after="260" w:line="413" w:lineRule="auto"/>
      <w:outlineLvl w:val="2"/>
    </w:pPr>
    <w:rPr>
      <w:b/>
      <w:bCs/>
      <w:sz w:val="32"/>
      <w:szCs w:val="32"/>
    </w:rPr>
  </w:style>
  <w:style w:type="paragraph" w:styleId="6">
    <w:name w:val="heading 4"/>
    <w:basedOn w:val="1"/>
    <w:next w:val="1"/>
    <w:link w:val="236"/>
    <w:qFormat/>
    <w:uiPriority w:val="0"/>
    <w:pPr>
      <w:keepNext/>
      <w:spacing w:line="900" w:lineRule="exact"/>
      <w:jc w:val="center"/>
      <w:outlineLvl w:val="3"/>
    </w:pPr>
    <w:rPr>
      <w:b/>
      <w:bCs/>
      <w:sz w:val="48"/>
    </w:rPr>
  </w:style>
  <w:style w:type="paragraph" w:styleId="7">
    <w:name w:val="heading 5"/>
    <w:basedOn w:val="1"/>
    <w:next w:val="1"/>
    <w:link w:val="211"/>
    <w:qFormat/>
    <w:uiPriority w:val="0"/>
    <w:pPr>
      <w:keepLines/>
      <w:widowControl/>
      <w:spacing w:before="240" w:after="60"/>
      <w:outlineLvl w:val="4"/>
    </w:pPr>
    <w:rPr>
      <w:rFonts w:ascii="Arial" w:hAnsi="Arial"/>
      <w:kern w:val="0"/>
      <w:sz w:val="22"/>
      <w:szCs w:val="20"/>
      <w:lang w:val="fr-FR" w:eastAsia="fr-FR"/>
    </w:rPr>
  </w:style>
  <w:style w:type="paragraph" w:styleId="8">
    <w:name w:val="heading 6"/>
    <w:basedOn w:val="1"/>
    <w:next w:val="1"/>
    <w:link w:val="243"/>
    <w:qFormat/>
    <w:uiPriority w:val="0"/>
    <w:pPr>
      <w:keepLines/>
      <w:widowControl/>
      <w:spacing w:before="240" w:after="60"/>
      <w:outlineLvl w:val="5"/>
    </w:pPr>
    <w:rPr>
      <w:rFonts w:ascii="Arial" w:hAnsi="Arial"/>
      <w:i/>
      <w:kern w:val="0"/>
      <w:sz w:val="22"/>
      <w:szCs w:val="20"/>
      <w:lang w:val="fr-FR" w:eastAsia="fr-FR"/>
    </w:rPr>
  </w:style>
  <w:style w:type="paragraph" w:styleId="9">
    <w:name w:val="heading 7"/>
    <w:basedOn w:val="1"/>
    <w:next w:val="1"/>
    <w:link w:val="241"/>
    <w:qFormat/>
    <w:uiPriority w:val="0"/>
    <w:pPr>
      <w:keepLines/>
      <w:widowControl/>
      <w:spacing w:before="240" w:after="60"/>
      <w:outlineLvl w:val="6"/>
    </w:pPr>
    <w:rPr>
      <w:rFonts w:ascii="Arial" w:hAnsi="Arial"/>
      <w:kern w:val="0"/>
      <w:sz w:val="24"/>
      <w:szCs w:val="20"/>
      <w:lang w:val="fr-FR" w:eastAsia="fr-FR"/>
    </w:rPr>
  </w:style>
  <w:style w:type="paragraph" w:styleId="10">
    <w:name w:val="heading 8"/>
    <w:basedOn w:val="1"/>
    <w:next w:val="1"/>
    <w:link w:val="228"/>
    <w:qFormat/>
    <w:uiPriority w:val="0"/>
    <w:pPr>
      <w:keepLines/>
      <w:widowControl/>
      <w:spacing w:before="240" w:after="60"/>
      <w:outlineLvl w:val="7"/>
    </w:pPr>
    <w:rPr>
      <w:rFonts w:ascii="Arial" w:hAnsi="Arial"/>
      <w:i/>
      <w:kern w:val="0"/>
      <w:sz w:val="24"/>
      <w:szCs w:val="20"/>
      <w:lang w:val="fr-FR" w:eastAsia="fr-FR"/>
    </w:rPr>
  </w:style>
  <w:style w:type="paragraph" w:styleId="11">
    <w:name w:val="heading 9"/>
    <w:basedOn w:val="1"/>
    <w:next w:val="1"/>
    <w:link w:val="208"/>
    <w:qFormat/>
    <w:uiPriority w:val="0"/>
    <w:pPr>
      <w:keepLines/>
      <w:widowControl/>
      <w:spacing w:before="240" w:after="60"/>
      <w:outlineLvl w:val="8"/>
    </w:pPr>
    <w:rPr>
      <w:rFonts w:ascii="Arial" w:hAnsi="Arial"/>
      <w:b/>
      <w:i/>
      <w:kern w:val="0"/>
      <w:sz w:val="18"/>
      <w:szCs w:val="20"/>
      <w:lang w:val="fr-FR" w:eastAsia="fr-FR"/>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2">
    <w:name w:val="toc 7"/>
    <w:basedOn w:val="1"/>
    <w:next w:val="1"/>
    <w:qFormat/>
    <w:uiPriority w:val="0"/>
    <w:pPr>
      <w:autoSpaceDE w:val="0"/>
      <w:autoSpaceDN w:val="0"/>
      <w:adjustRightInd w:val="0"/>
      <w:spacing w:beforeLines="50" w:line="360" w:lineRule="auto"/>
      <w:ind w:left="1440"/>
      <w:jc w:val="left"/>
      <w:textAlignment w:val="baseline"/>
    </w:pPr>
    <w:rPr>
      <w:kern w:val="0"/>
      <w:sz w:val="24"/>
      <w:szCs w:val="21"/>
    </w:rPr>
  </w:style>
  <w:style w:type="paragraph" w:styleId="13">
    <w:name w:val="Normal Indent"/>
    <w:basedOn w:val="1"/>
    <w:qFormat/>
    <w:uiPriority w:val="0"/>
    <w:pPr>
      <w:ind w:firstLine="420"/>
    </w:pPr>
    <w:rPr>
      <w:szCs w:val="20"/>
    </w:rPr>
  </w:style>
  <w:style w:type="paragraph" w:styleId="14">
    <w:name w:val="Document Map"/>
    <w:basedOn w:val="1"/>
    <w:link w:val="205"/>
    <w:qFormat/>
    <w:uiPriority w:val="0"/>
    <w:pPr>
      <w:shd w:val="clear" w:color="auto" w:fill="000080"/>
    </w:pPr>
    <w:rPr>
      <w:rFonts w:ascii="Calibri" w:hAnsi="Calibri"/>
      <w:kern w:val="0"/>
      <w:sz w:val="20"/>
    </w:rPr>
  </w:style>
  <w:style w:type="paragraph" w:styleId="15">
    <w:name w:val="annotation text"/>
    <w:basedOn w:val="1"/>
    <w:link w:val="199"/>
    <w:unhideWhenUsed/>
    <w:qFormat/>
    <w:uiPriority w:val="99"/>
    <w:pPr>
      <w:jc w:val="left"/>
    </w:pPr>
  </w:style>
  <w:style w:type="paragraph" w:styleId="16">
    <w:name w:val="Salutation"/>
    <w:basedOn w:val="1"/>
    <w:next w:val="1"/>
    <w:link w:val="226"/>
    <w:qFormat/>
    <w:uiPriority w:val="0"/>
    <w:rPr>
      <w:sz w:val="24"/>
      <w:szCs w:val="20"/>
    </w:rPr>
  </w:style>
  <w:style w:type="paragraph" w:styleId="17">
    <w:name w:val="Body Text 3"/>
    <w:basedOn w:val="1"/>
    <w:link w:val="200"/>
    <w:qFormat/>
    <w:uiPriority w:val="0"/>
    <w:rPr>
      <w:sz w:val="48"/>
    </w:rPr>
  </w:style>
  <w:style w:type="paragraph" w:styleId="18">
    <w:name w:val="Body Text"/>
    <w:basedOn w:val="3"/>
    <w:next w:val="3"/>
    <w:link w:val="197"/>
    <w:qFormat/>
    <w:uiPriority w:val="0"/>
    <w:rPr>
      <w:rFonts w:hAnsi="Calibri"/>
      <w:szCs w:val="24"/>
    </w:rPr>
  </w:style>
  <w:style w:type="paragraph" w:styleId="19">
    <w:name w:val="Body Text Indent"/>
    <w:basedOn w:val="1"/>
    <w:link w:val="239"/>
    <w:qFormat/>
    <w:uiPriority w:val="0"/>
    <w:pPr>
      <w:spacing w:after="120"/>
      <w:ind w:left="420" w:leftChars="200"/>
    </w:pPr>
  </w:style>
  <w:style w:type="paragraph" w:styleId="20">
    <w:name w:val="Block Text"/>
    <w:basedOn w:val="1"/>
    <w:qFormat/>
    <w:uiPriority w:val="0"/>
    <w:pPr>
      <w:ind w:left="178" w:leftChars="85" w:right="384" w:rightChars="183" w:firstLine="538" w:firstLineChars="256"/>
    </w:pPr>
  </w:style>
  <w:style w:type="paragraph" w:styleId="21">
    <w:name w:val="HTML Address"/>
    <w:basedOn w:val="1"/>
    <w:link w:val="185"/>
    <w:qFormat/>
    <w:uiPriority w:val="0"/>
    <w:rPr>
      <w:i/>
      <w:iCs/>
    </w:rPr>
  </w:style>
  <w:style w:type="paragraph" w:styleId="22">
    <w:name w:val="toc 5"/>
    <w:basedOn w:val="1"/>
    <w:next w:val="1"/>
    <w:qFormat/>
    <w:uiPriority w:val="0"/>
    <w:pPr>
      <w:adjustRightInd w:val="0"/>
      <w:ind w:left="1680" w:leftChars="800"/>
      <w:jc w:val="left"/>
      <w:textAlignment w:val="baseline"/>
    </w:pPr>
    <w:rPr>
      <w:kern w:val="0"/>
      <w:szCs w:val="20"/>
    </w:rPr>
  </w:style>
  <w:style w:type="paragraph" w:styleId="23">
    <w:name w:val="toc 3"/>
    <w:basedOn w:val="1"/>
    <w:next w:val="1"/>
    <w:qFormat/>
    <w:uiPriority w:val="0"/>
    <w:pPr>
      <w:adjustRightInd w:val="0"/>
      <w:ind w:left="840" w:leftChars="400"/>
      <w:jc w:val="left"/>
      <w:textAlignment w:val="baseline"/>
    </w:pPr>
    <w:rPr>
      <w:kern w:val="0"/>
      <w:szCs w:val="20"/>
    </w:rPr>
  </w:style>
  <w:style w:type="paragraph" w:styleId="24">
    <w:name w:val="Plain Text"/>
    <w:basedOn w:val="1"/>
    <w:link w:val="202"/>
    <w:qFormat/>
    <w:uiPriority w:val="0"/>
    <w:rPr>
      <w:rFonts w:ascii="宋体" w:hAnsi="Courier New"/>
      <w:kern w:val="0"/>
      <w:sz w:val="20"/>
      <w:szCs w:val="20"/>
    </w:rPr>
  </w:style>
  <w:style w:type="paragraph" w:styleId="25">
    <w:name w:val="toc 8"/>
    <w:basedOn w:val="1"/>
    <w:next w:val="1"/>
    <w:qFormat/>
    <w:uiPriority w:val="0"/>
    <w:pPr>
      <w:adjustRightInd w:val="0"/>
      <w:ind w:left="2940" w:leftChars="1400"/>
      <w:jc w:val="left"/>
      <w:textAlignment w:val="baseline"/>
    </w:pPr>
    <w:rPr>
      <w:kern w:val="0"/>
      <w:szCs w:val="20"/>
    </w:rPr>
  </w:style>
  <w:style w:type="paragraph" w:styleId="26">
    <w:name w:val="Date"/>
    <w:basedOn w:val="1"/>
    <w:next w:val="1"/>
    <w:link w:val="195"/>
    <w:qFormat/>
    <w:uiPriority w:val="0"/>
    <w:rPr>
      <w:rFonts w:ascii="Calibri" w:hAnsi="Calibri"/>
      <w:kern w:val="0"/>
      <w:sz w:val="30"/>
      <w:szCs w:val="20"/>
    </w:rPr>
  </w:style>
  <w:style w:type="paragraph" w:styleId="27">
    <w:name w:val="Body Text Indent 2"/>
    <w:basedOn w:val="1"/>
    <w:link w:val="201"/>
    <w:qFormat/>
    <w:uiPriority w:val="0"/>
    <w:pPr>
      <w:spacing w:after="120" w:line="480" w:lineRule="auto"/>
      <w:ind w:left="420" w:leftChars="200"/>
    </w:pPr>
  </w:style>
  <w:style w:type="paragraph" w:styleId="28">
    <w:name w:val="endnote text"/>
    <w:basedOn w:val="1"/>
    <w:link w:val="233"/>
    <w:qFormat/>
    <w:uiPriority w:val="0"/>
    <w:pPr>
      <w:widowControl/>
      <w:jc w:val="left"/>
    </w:pPr>
    <w:rPr>
      <w:rFonts w:ascii="Arial" w:hAnsi="Arial"/>
      <w:kern w:val="0"/>
      <w:sz w:val="20"/>
      <w:szCs w:val="20"/>
      <w:lang w:val="fr-FR"/>
    </w:rPr>
  </w:style>
  <w:style w:type="paragraph" w:styleId="29">
    <w:name w:val="Balloon Text"/>
    <w:basedOn w:val="1"/>
    <w:link w:val="227"/>
    <w:qFormat/>
    <w:uiPriority w:val="0"/>
    <w:rPr>
      <w:rFonts w:ascii="Calibri" w:hAnsi="Calibri"/>
      <w:kern w:val="0"/>
      <w:sz w:val="18"/>
      <w:szCs w:val="18"/>
    </w:rPr>
  </w:style>
  <w:style w:type="paragraph" w:styleId="30">
    <w:name w:val="footer"/>
    <w:basedOn w:val="1"/>
    <w:link w:val="183"/>
    <w:unhideWhenUsed/>
    <w:qFormat/>
    <w:uiPriority w:val="0"/>
    <w:pPr>
      <w:tabs>
        <w:tab w:val="center" w:pos="4153"/>
        <w:tab w:val="right" w:pos="8306"/>
      </w:tabs>
      <w:snapToGrid w:val="0"/>
      <w:jc w:val="left"/>
    </w:pPr>
    <w:rPr>
      <w:sz w:val="18"/>
      <w:szCs w:val="18"/>
    </w:rPr>
  </w:style>
  <w:style w:type="paragraph" w:styleId="31">
    <w:name w:val="header"/>
    <w:basedOn w:val="1"/>
    <w:link w:val="230"/>
    <w:unhideWhenUsed/>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rPr>
      <w:rFonts w:ascii="Arial" w:hAnsi="Arial" w:eastAsia="黑体"/>
      <w:sz w:val="24"/>
      <w:szCs w:val="21"/>
    </w:rPr>
  </w:style>
  <w:style w:type="paragraph" w:styleId="33">
    <w:name w:val="toc 4"/>
    <w:basedOn w:val="1"/>
    <w:next w:val="1"/>
    <w:qFormat/>
    <w:uiPriority w:val="0"/>
    <w:pPr>
      <w:autoSpaceDE w:val="0"/>
      <w:autoSpaceDN w:val="0"/>
      <w:adjustRightInd w:val="0"/>
      <w:spacing w:beforeLines="50" w:line="360" w:lineRule="auto"/>
      <w:ind w:left="720"/>
      <w:jc w:val="left"/>
      <w:textAlignment w:val="baseline"/>
    </w:pPr>
    <w:rPr>
      <w:kern w:val="0"/>
      <w:sz w:val="24"/>
      <w:szCs w:val="21"/>
    </w:rPr>
  </w:style>
  <w:style w:type="paragraph" w:styleId="34">
    <w:name w:val="Subtitle"/>
    <w:basedOn w:val="1"/>
    <w:link w:val="234"/>
    <w:qFormat/>
    <w:uiPriority w:val="0"/>
    <w:rPr>
      <w:sz w:val="28"/>
      <w:szCs w:val="20"/>
    </w:rPr>
  </w:style>
  <w:style w:type="paragraph" w:styleId="35">
    <w:name w:val="List"/>
    <w:basedOn w:val="1"/>
    <w:qFormat/>
    <w:uiPriority w:val="0"/>
    <w:pPr>
      <w:ind w:left="200" w:hanging="200" w:hangingChars="200"/>
    </w:pPr>
    <w:rPr>
      <w:szCs w:val="20"/>
    </w:rPr>
  </w:style>
  <w:style w:type="paragraph" w:styleId="36">
    <w:name w:val="footnote text"/>
    <w:basedOn w:val="1"/>
    <w:link w:val="189"/>
    <w:qFormat/>
    <w:uiPriority w:val="0"/>
    <w:pPr>
      <w:snapToGrid w:val="0"/>
      <w:jc w:val="left"/>
    </w:pPr>
    <w:rPr>
      <w:sz w:val="18"/>
      <w:szCs w:val="18"/>
    </w:rPr>
  </w:style>
  <w:style w:type="paragraph" w:styleId="37">
    <w:name w:val="toc 6"/>
    <w:basedOn w:val="1"/>
    <w:next w:val="1"/>
    <w:qFormat/>
    <w:uiPriority w:val="0"/>
    <w:pPr>
      <w:autoSpaceDE w:val="0"/>
      <w:autoSpaceDN w:val="0"/>
      <w:adjustRightInd w:val="0"/>
      <w:spacing w:beforeLines="50" w:line="360" w:lineRule="auto"/>
      <w:ind w:left="1200"/>
      <w:jc w:val="left"/>
      <w:textAlignment w:val="baseline"/>
    </w:pPr>
    <w:rPr>
      <w:kern w:val="0"/>
      <w:sz w:val="24"/>
      <w:szCs w:val="21"/>
    </w:rPr>
  </w:style>
  <w:style w:type="paragraph" w:styleId="38">
    <w:name w:val="Body Text Indent 3"/>
    <w:basedOn w:val="1"/>
    <w:link w:val="212"/>
    <w:qFormat/>
    <w:uiPriority w:val="0"/>
    <w:pPr>
      <w:spacing w:after="120"/>
      <w:ind w:left="420" w:leftChars="200"/>
    </w:pPr>
    <w:rPr>
      <w:sz w:val="16"/>
      <w:szCs w:val="16"/>
    </w:rPr>
  </w:style>
  <w:style w:type="paragraph" w:styleId="39">
    <w:name w:val="toc 2"/>
    <w:basedOn w:val="1"/>
    <w:next w:val="1"/>
    <w:qFormat/>
    <w:uiPriority w:val="0"/>
    <w:pPr>
      <w:autoSpaceDE w:val="0"/>
      <w:autoSpaceDN w:val="0"/>
      <w:adjustRightInd w:val="0"/>
      <w:spacing w:beforeLines="50" w:line="360" w:lineRule="auto"/>
      <w:ind w:left="240"/>
      <w:jc w:val="left"/>
      <w:textAlignment w:val="baseline"/>
    </w:pPr>
    <w:rPr>
      <w:smallCaps/>
      <w:kern w:val="0"/>
      <w:sz w:val="24"/>
    </w:rPr>
  </w:style>
  <w:style w:type="paragraph" w:styleId="40">
    <w:name w:val="toc 9"/>
    <w:basedOn w:val="1"/>
    <w:next w:val="1"/>
    <w:qFormat/>
    <w:uiPriority w:val="0"/>
    <w:pPr>
      <w:adjustRightInd w:val="0"/>
      <w:ind w:left="3360" w:leftChars="1600"/>
      <w:jc w:val="left"/>
      <w:textAlignment w:val="baseline"/>
    </w:pPr>
    <w:rPr>
      <w:kern w:val="0"/>
      <w:szCs w:val="20"/>
    </w:rPr>
  </w:style>
  <w:style w:type="paragraph" w:styleId="41">
    <w:name w:val="Body Text 2"/>
    <w:basedOn w:val="1"/>
    <w:link w:val="244"/>
    <w:qFormat/>
    <w:uiPriority w:val="0"/>
    <w:pPr>
      <w:jc w:val="left"/>
    </w:pPr>
    <w:rPr>
      <w:rFonts w:ascii="宋体"/>
      <w:sz w:val="28"/>
    </w:rPr>
  </w:style>
  <w:style w:type="paragraph" w:styleId="42">
    <w:name w:val="HTML Preformatted"/>
    <w:basedOn w:val="1"/>
    <w:link w:val="194"/>
    <w:qFormat/>
    <w:uiPriority w:val="0"/>
    <w:rPr>
      <w:rFonts w:ascii="Courier New" w:hAnsi="Courier New" w:cs="Courier New"/>
      <w:sz w:val="20"/>
      <w:szCs w:val="20"/>
    </w:rPr>
  </w:style>
  <w:style w:type="paragraph" w:styleId="4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44">
    <w:name w:val="index 1"/>
    <w:basedOn w:val="1"/>
    <w:next w:val="1"/>
    <w:qFormat/>
    <w:uiPriority w:val="0"/>
    <w:rPr>
      <w:szCs w:val="20"/>
    </w:rPr>
  </w:style>
  <w:style w:type="paragraph" w:styleId="45">
    <w:name w:val="Title"/>
    <w:basedOn w:val="1"/>
    <w:link w:val="217"/>
    <w:qFormat/>
    <w:uiPriority w:val="0"/>
    <w:pPr>
      <w:jc w:val="center"/>
    </w:pPr>
    <w:rPr>
      <w:b/>
      <w:sz w:val="32"/>
      <w:szCs w:val="20"/>
    </w:rPr>
  </w:style>
  <w:style w:type="paragraph" w:styleId="46">
    <w:name w:val="annotation subject"/>
    <w:basedOn w:val="15"/>
    <w:next w:val="15"/>
    <w:link w:val="218"/>
    <w:qFormat/>
    <w:uiPriority w:val="0"/>
    <w:rPr>
      <w:b/>
      <w:bCs/>
    </w:rPr>
  </w:style>
  <w:style w:type="table" w:styleId="48">
    <w:name w:val="Table Grid"/>
    <w:basedOn w:val="47"/>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qFormat/>
    <w:uiPriority w:val="0"/>
    <w:rPr>
      <w:b/>
      <w:bCs/>
    </w:rPr>
  </w:style>
  <w:style w:type="character" w:styleId="51">
    <w:name w:val="page number"/>
    <w:basedOn w:val="49"/>
    <w:qFormat/>
    <w:uiPriority w:val="0"/>
  </w:style>
  <w:style w:type="character" w:styleId="52">
    <w:name w:val="FollowedHyperlink"/>
    <w:qFormat/>
    <w:uiPriority w:val="0"/>
    <w:rPr>
      <w:color w:val="800080"/>
      <w:u w:val="single"/>
    </w:rPr>
  </w:style>
  <w:style w:type="character" w:styleId="53">
    <w:name w:val="HTML Definition"/>
    <w:qFormat/>
    <w:uiPriority w:val="0"/>
    <w:rPr>
      <w:i/>
      <w:iCs/>
    </w:rPr>
  </w:style>
  <w:style w:type="character" w:styleId="54">
    <w:name w:val="Hyperlink"/>
    <w:qFormat/>
    <w:uiPriority w:val="99"/>
    <w:rPr>
      <w:color w:val="0000FF"/>
      <w:u w:val="single"/>
    </w:rPr>
  </w:style>
  <w:style w:type="character" w:styleId="55">
    <w:name w:val="annotation reference"/>
    <w:qFormat/>
    <w:uiPriority w:val="99"/>
    <w:rPr>
      <w:sz w:val="21"/>
      <w:szCs w:val="21"/>
    </w:rPr>
  </w:style>
  <w:style w:type="character" w:styleId="56">
    <w:name w:val="footnote reference"/>
    <w:qFormat/>
    <w:uiPriority w:val="0"/>
    <w:rPr>
      <w:vertAlign w:val="superscript"/>
    </w:rPr>
  </w:style>
  <w:style w:type="paragraph" w:customStyle="1" w:styleId="57">
    <w:name w:val="前言、引言标题"/>
    <w:next w:val="1"/>
    <w:qFormat/>
    <w:uiPriority w:val="0"/>
    <w:pPr>
      <w:shd w:val="clear" w:color="FFFFFF" w:fill="FFFFFF"/>
      <w:tabs>
        <w:tab w:val="left" w:pos="360"/>
      </w:tabs>
      <w:spacing w:before="640" w:after="560"/>
      <w:ind w:left="425" w:hanging="425"/>
      <w:jc w:val="center"/>
      <w:outlineLvl w:val="0"/>
    </w:pPr>
    <w:rPr>
      <w:rFonts w:ascii="黑体" w:hAnsi="Times New Roman" w:eastAsia="黑体" w:cs="Times New Roman"/>
      <w:sz w:val="32"/>
      <w:lang w:val="en-US" w:eastAsia="zh-CN" w:bidi="ar-SA"/>
    </w:rPr>
  </w:style>
  <w:style w:type="paragraph" w:customStyle="1" w:styleId="58">
    <w:name w:val="正文表标题"/>
    <w:next w:val="59"/>
    <w:qFormat/>
    <w:uiPriority w:val="0"/>
    <w:pPr>
      <w:tabs>
        <w:tab w:val="left" w:pos="360"/>
      </w:tabs>
      <w:jc w:val="center"/>
    </w:pPr>
    <w:rPr>
      <w:rFonts w:ascii="黑体" w:hAnsi="Times New Roman" w:eastAsia="黑体" w:cs="Times New Roman"/>
      <w:sz w:val="21"/>
      <w:lang w:val="en-US" w:eastAsia="zh-CN" w:bidi="ar-SA"/>
    </w:rPr>
  </w:style>
  <w:style w:type="paragraph" w:customStyle="1" w:styleId="5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其他发布部门"/>
    <w:basedOn w:val="61"/>
    <w:qFormat/>
    <w:uiPriority w:val="0"/>
    <w:pPr>
      <w:spacing w:line="0" w:lineRule="atLeast"/>
    </w:pPr>
    <w:rPr>
      <w:rFonts w:ascii="黑体" w:eastAsia="黑体"/>
      <w:b w:val="0"/>
    </w:rPr>
  </w:style>
  <w:style w:type="paragraph" w:customStyle="1" w:styleId="61">
    <w:name w:val="发布部门"/>
    <w:next w:val="59"/>
    <w:qFormat/>
    <w:uiPriority w:val="0"/>
    <w:pPr>
      <w:jc w:val="center"/>
    </w:pPr>
    <w:rPr>
      <w:rFonts w:ascii="宋体" w:hAnsi="Times New Roman" w:eastAsia="宋体" w:cs="Times New Roman"/>
      <w:b/>
      <w:spacing w:val="20"/>
      <w:w w:val="135"/>
      <w:sz w:val="36"/>
      <w:lang w:val="en-US" w:eastAsia="zh-CN" w:bidi="ar-SA"/>
    </w:rPr>
  </w:style>
  <w:style w:type="paragraph" w:customStyle="1" w:styleId="62">
    <w:name w:val="附录标识"/>
    <w:basedOn w:val="57"/>
    <w:qFormat/>
    <w:uiPriority w:val="0"/>
    <w:pPr>
      <w:tabs>
        <w:tab w:val="left" w:pos="6405"/>
        <w:tab w:val="clear" w:pos="360"/>
      </w:tabs>
      <w:spacing w:after="200"/>
      <w:ind w:left="914" w:hanging="720"/>
    </w:pPr>
    <w:rPr>
      <w:sz w:val="21"/>
    </w:rPr>
  </w:style>
  <w:style w:type="paragraph" w:customStyle="1" w:styleId="63">
    <w:name w:val="标准书眉_偶数页"/>
    <w:basedOn w:val="64"/>
    <w:next w:val="1"/>
    <w:qFormat/>
    <w:uiPriority w:val="0"/>
    <w:pPr>
      <w:tabs>
        <w:tab w:val="center" w:pos="4154"/>
        <w:tab w:val="right" w:pos="8306"/>
      </w:tabs>
      <w:jc w:val="left"/>
    </w:pPr>
  </w:style>
  <w:style w:type="paragraph" w:customStyle="1" w:styleId="6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5">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66">
    <w:name w:val="Char3"/>
    <w:basedOn w:val="1"/>
    <w:qFormat/>
    <w:uiPriority w:val="0"/>
  </w:style>
  <w:style w:type="paragraph" w:customStyle="1" w:styleId="67">
    <w:name w:val="附录表标题"/>
    <w:next w:val="59"/>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68">
    <w:name w:val="参考文献、索引标题"/>
    <w:basedOn w:val="57"/>
    <w:next w:val="1"/>
    <w:qFormat/>
    <w:uiPriority w:val="0"/>
    <w:pPr>
      <w:tabs>
        <w:tab w:val="left" w:pos="425"/>
      </w:tabs>
      <w:spacing w:after="200"/>
      <w:ind w:left="0" w:firstLine="0"/>
    </w:pPr>
    <w:rPr>
      <w:sz w:val="21"/>
    </w:rPr>
  </w:style>
  <w:style w:type="paragraph" w:customStyle="1" w:styleId="69">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0">
    <w:name w:val="表内文字数据"/>
    <w:basedOn w:val="1"/>
    <w:next w:val="1"/>
    <w:qFormat/>
    <w:uiPriority w:val="0"/>
    <w:pPr>
      <w:adjustRightInd w:val="0"/>
      <w:snapToGrid w:val="0"/>
      <w:spacing w:line="240" w:lineRule="atLeast"/>
      <w:jc w:val="left"/>
    </w:pPr>
    <w:rPr>
      <w:kern w:val="0"/>
      <w:sz w:val="24"/>
      <w:szCs w:val="20"/>
    </w:rPr>
  </w:style>
  <w:style w:type="paragraph" w:customStyle="1" w:styleId="71">
    <w:name w:val="Default Paragraph Char Char Char Char"/>
    <w:basedOn w:val="1"/>
    <w:next w:val="1"/>
    <w:qFormat/>
    <w:uiPriority w:val="0"/>
    <w:pPr>
      <w:widowControl/>
      <w:spacing w:line="360" w:lineRule="auto"/>
      <w:jc w:val="left"/>
    </w:pPr>
    <w:rPr>
      <w:kern w:val="0"/>
      <w:szCs w:val="20"/>
      <w:lang w:eastAsia="en-US"/>
    </w:rPr>
  </w:style>
  <w:style w:type="paragraph" w:customStyle="1" w:styleId="7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73">
    <w:name w:val="tabelle"/>
    <w:basedOn w:val="1"/>
    <w:qFormat/>
    <w:uiPriority w:val="0"/>
    <w:pPr>
      <w:widowControl/>
      <w:spacing w:before="100" w:beforeAutospacing="1" w:after="100" w:afterAutospacing="1"/>
      <w:jc w:val="left"/>
    </w:pPr>
    <w:rPr>
      <w:rFonts w:ascii="宋体" w:hAnsi="宋体"/>
      <w:kern w:val="0"/>
      <w:sz w:val="24"/>
    </w:rPr>
  </w:style>
  <w:style w:type="paragraph" w:customStyle="1" w:styleId="74">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5">
    <w:name w:val="Char Char1 Char1"/>
    <w:basedOn w:val="1"/>
    <w:qFormat/>
    <w:uiPriority w:val="0"/>
    <w:pPr>
      <w:tabs>
        <w:tab w:val="left" w:pos="360"/>
      </w:tabs>
      <w:ind w:firstLine="420" w:firstLineChars="150"/>
    </w:pPr>
    <w:rPr>
      <w:rFonts w:ascii="Arial" w:hAnsi="Arial" w:cs="Arial"/>
      <w:sz w:val="20"/>
      <w:szCs w:val="20"/>
    </w:rPr>
  </w:style>
  <w:style w:type="paragraph" w:customStyle="1" w:styleId="76">
    <w:name w:val="附录章标题"/>
    <w:next w:val="59"/>
    <w:qFormat/>
    <w:uiPriority w:val="0"/>
    <w:pPr>
      <w:tabs>
        <w:tab w:val="left" w:pos="360"/>
      </w:tabs>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77">
    <w:name w:val="Char Char Char Char Char Char Char Char Char Char"/>
    <w:basedOn w:val="1"/>
    <w:link w:val="191"/>
    <w:qFormat/>
    <w:uiPriority w:val="0"/>
    <w:rPr>
      <w:rFonts w:ascii="Tahoma" w:hAnsi="Tahoma" w:eastAsia="楷体_GB2312"/>
      <w:spacing w:val="10"/>
      <w:kern w:val="0"/>
      <w:sz w:val="24"/>
      <w:szCs w:val="20"/>
    </w:rPr>
  </w:style>
  <w:style w:type="paragraph" w:customStyle="1" w:styleId="78">
    <w:name w:val="日期1"/>
    <w:basedOn w:val="1"/>
    <w:next w:val="1"/>
    <w:qFormat/>
    <w:uiPriority w:val="0"/>
    <w:pPr>
      <w:adjustRightInd w:val="0"/>
      <w:textAlignment w:val="baseline"/>
    </w:pPr>
    <w:rPr>
      <w:rFonts w:ascii="宋体"/>
      <w:kern w:val="0"/>
      <w:sz w:val="24"/>
      <w:szCs w:val="20"/>
    </w:rPr>
  </w:style>
  <w:style w:type="paragraph" w:customStyle="1" w:styleId="79">
    <w:name w:val="二级条标题"/>
    <w:basedOn w:val="80"/>
    <w:next w:val="59"/>
    <w:qFormat/>
    <w:uiPriority w:val="0"/>
    <w:pPr>
      <w:tabs>
        <w:tab w:val="left" w:pos="360"/>
      </w:tabs>
    </w:pPr>
  </w:style>
  <w:style w:type="paragraph" w:customStyle="1" w:styleId="80">
    <w:name w:val="一级条标题"/>
    <w:basedOn w:val="81"/>
    <w:next w:val="59"/>
    <w:qFormat/>
    <w:uiPriority w:val="0"/>
    <w:pPr>
      <w:tabs>
        <w:tab w:val="left" w:pos="360"/>
      </w:tabs>
      <w:spacing w:beforeLines="0" w:afterLines="0"/>
      <w:outlineLvl w:val="2"/>
    </w:pPr>
  </w:style>
  <w:style w:type="paragraph" w:customStyle="1" w:styleId="81">
    <w:name w:val="章标题"/>
    <w:next w:val="59"/>
    <w:qFormat/>
    <w:uiPriority w:val="0"/>
    <w:pPr>
      <w:tabs>
        <w:tab w:val="left" w:pos="360"/>
      </w:tabs>
      <w:spacing w:beforeLines="50" w:afterLines="50"/>
      <w:jc w:val="both"/>
      <w:outlineLvl w:val="1"/>
    </w:pPr>
    <w:rPr>
      <w:rFonts w:ascii="黑体" w:hAnsi="Times New Roman" w:eastAsia="黑体" w:cs="Times New Roman"/>
      <w:sz w:val="21"/>
      <w:lang w:val="en-US" w:eastAsia="zh-CN" w:bidi="ar-SA"/>
    </w:rPr>
  </w:style>
  <w:style w:type="paragraph" w:customStyle="1" w:styleId="82">
    <w:name w:val="Char1 Char Char Char Char Char Char"/>
    <w:basedOn w:val="1"/>
    <w:qFormat/>
    <w:uiPriority w:val="0"/>
    <w:rPr>
      <w:szCs w:val="20"/>
    </w:rPr>
  </w:style>
  <w:style w:type="paragraph" w:customStyle="1" w:styleId="83">
    <w:name w:val="样式1"/>
    <w:basedOn w:val="1"/>
    <w:qFormat/>
    <w:uiPriority w:val="0"/>
    <w:pPr>
      <w:jc w:val="center"/>
      <w:outlineLvl w:val="0"/>
    </w:pPr>
    <w:rPr>
      <w:b/>
      <w:sz w:val="32"/>
    </w:rPr>
  </w:style>
  <w:style w:type="paragraph" w:customStyle="1" w:styleId="84">
    <w:name w:val="Char Char Char Char Char Char Char1 Char"/>
    <w:basedOn w:val="1"/>
    <w:qFormat/>
    <w:uiPriority w:val="0"/>
    <w:rPr>
      <w:rFonts w:ascii="Tahoma" w:hAnsi="Tahoma"/>
      <w:sz w:val="24"/>
      <w:szCs w:val="20"/>
    </w:rPr>
  </w:style>
  <w:style w:type="paragraph" w:customStyle="1" w:styleId="85">
    <w:name w:val="第四行"/>
    <w:basedOn w:val="1"/>
    <w:qFormat/>
    <w:uiPriority w:val="0"/>
    <w:pPr>
      <w:tabs>
        <w:tab w:val="left" w:pos="1200"/>
      </w:tabs>
      <w:spacing w:line="360" w:lineRule="auto"/>
      <w:jc w:val="center"/>
    </w:pPr>
    <w:rPr>
      <w:rFonts w:ascii="宋体" w:hAnsi="Arial Narrow"/>
      <w:b/>
      <w:bCs/>
      <w:spacing w:val="40"/>
      <w:sz w:val="28"/>
      <w:szCs w:val="28"/>
    </w:rPr>
  </w:style>
  <w:style w:type="paragraph" w:customStyle="1" w:styleId="86">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87">
    <w:name w:val="样式 样式 正文文本 + 左侧:  2 字符 首行缩进:  2 字符1 + 左侧:  2 字符 首行缩进:  2 字符"/>
    <w:basedOn w:val="1"/>
    <w:qFormat/>
    <w:uiPriority w:val="0"/>
    <w:pPr>
      <w:spacing w:line="360" w:lineRule="auto"/>
      <w:ind w:left="200" w:leftChars="200" w:firstLine="200" w:firstLineChars="200"/>
    </w:pPr>
    <w:rPr>
      <w:rFonts w:cs="宋体"/>
      <w:sz w:val="24"/>
      <w:szCs w:val="20"/>
    </w:rPr>
  </w:style>
  <w:style w:type="paragraph" w:customStyle="1" w:styleId="88">
    <w:name w:val="Char Char Char Char1"/>
    <w:basedOn w:val="1"/>
    <w:qFormat/>
    <w:uiPriority w:val="0"/>
  </w:style>
  <w:style w:type="paragraph" w:customStyle="1" w:styleId="89">
    <w:name w:val="一级无标题条"/>
    <w:basedOn w:val="1"/>
    <w:qFormat/>
    <w:uiPriority w:val="0"/>
  </w:style>
  <w:style w:type="paragraph" w:customStyle="1" w:styleId="90">
    <w:name w:val="Tit 4"/>
    <w:basedOn w:val="91"/>
    <w:qFormat/>
    <w:uiPriority w:val="0"/>
    <w:pPr>
      <w:tabs>
        <w:tab w:val="left" w:pos="360"/>
        <w:tab w:val="left" w:pos="993"/>
        <w:tab w:val="left" w:pos="1078"/>
        <w:tab w:val="left" w:pos="2446"/>
      </w:tabs>
      <w:ind w:left="360"/>
      <w:outlineLvl w:val="3"/>
    </w:pPr>
  </w:style>
  <w:style w:type="paragraph" w:customStyle="1" w:styleId="91">
    <w:name w:val="Tit 3"/>
    <w:basedOn w:val="92"/>
    <w:qFormat/>
    <w:uiPriority w:val="0"/>
    <w:pPr>
      <w:tabs>
        <w:tab w:val="left" w:pos="360"/>
        <w:tab w:val="left" w:pos="993"/>
        <w:tab w:val="left" w:pos="1078"/>
      </w:tabs>
      <w:ind w:left="851" w:hanging="360"/>
      <w:outlineLvl w:val="2"/>
    </w:pPr>
  </w:style>
  <w:style w:type="paragraph" w:customStyle="1" w:styleId="92">
    <w:name w:val="Tit 2"/>
    <w:basedOn w:val="1"/>
    <w:qFormat/>
    <w:uiPriority w:val="0"/>
    <w:pPr>
      <w:widowControl/>
      <w:tabs>
        <w:tab w:val="left" w:pos="1078"/>
      </w:tabs>
      <w:ind w:left="1078" w:hanging="432"/>
      <w:outlineLvl w:val="1"/>
    </w:pPr>
    <w:rPr>
      <w:rFonts w:ascii="Helvetica" w:hAnsi="Helvetica" w:eastAsia="Times"/>
      <w:b/>
      <w:kern w:val="0"/>
      <w:sz w:val="24"/>
      <w:szCs w:val="20"/>
      <w:lang w:val="en-GB" w:eastAsia="it-IT"/>
    </w:rPr>
  </w:style>
  <w:style w:type="paragraph" w:customStyle="1" w:styleId="93">
    <w:name w:val="Char Char Char Char"/>
    <w:basedOn w:val="1"/>
    <w:qFormat/>
    <w:uiPriority w:val="0"/>
    <w:rPr>
      <w:rFonts w:ascii="Tahoma" w:hAnsi="Tahoma"/>
      <w:sz w:val="24"/>
      <w:szCs w:val="20"/>
    </w:rPr>
  </w:style>
  <w:style w:type="paragraph" w:customStyle="1" w:styleId="94">
    <w:name w:val="正文2"/>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95">
    <w:name w:val="注："/>
    <w:next w:val="59"/>
    <w:qFormat/>
    <w:uiPriority w:val="0"/>
    <w:pPr>
      <w:widowControl w:val="0"/>
      <w:tabs>
        <w:tab w:val="left" w:pos="360"/>
      </w:tabs>
      <w:autoSpaceDE w:val="0"/>
      <w:autoSpaceDN w:val="0"/>
      <w:jc w:val="both"/>
    </w:pPr>
    <w:rPr>
      <w:rFonts w:ascii="宋体" w:hAnsi="Times New Roman" w:eastAsia="宋体" w:cs="Times New Roman"/>
      <w:sz w:val="18"/>
      <w:lang w:val="en-US" w:eastAsia="zh-CN" w:bidi="ar-SA"/>
    </w:rPr>
  </w:style>
  <w:style w:type="paragraph" w:customStyle="1" w:styleId="96">
    <w:name w:val="列项·"/>
    <w:qFormat/>
    <w:uiPriority w:val="0"/>
    <w:pPr>
      <w:tabs>
        <w:tab w:val="left" w:pos="360"/>
        <w:tab w:val="left" w:pos="840"/>
      </w:tabs>
      <w:jc w:val="both"/>
    </w:pPr>
    <w:rPr>
      <w:rFonts w:ascii="宋体" w:hAnsi="Times New Roman" w:eastAsia="宋体" w:cs="Times New Roman"/>
      <w:sz w:val="21"/>
      <w:lang w:val="en-US" w:eastAsia="zh-CN" w:bidi="ar-SA"/>
    </w:rPr>
  </w:style>
  <w:style w:type="paragraph" w:customStyle="1" w:styleId="97">
    <w:name w:val="附录一级条标题"/>
    <w:basedOn w:val="76"/>
    <w:next w:val="59"/>
    <w:qFormat/>
    <w:uiPriority w:val="0"/>
    <w:pPr>
      <w:autoSpaceDN w:val="0"/>
      <w:spacing w:beforeLines="0" w:afterLines="0"/>
      <w:outlineLvl w:val="2"/>
    </w:pPr>
  </w:style>
  <w:style w:type="paragraph" w:customStyle="1" w:styleId="98">
    <w:name w:val="Char Char Char Char Char Char"/>
    <w:basedOn w:val="1"/>
    <w:qFormat/>
    <w:uiPriority w:val="0"/>
    <w:rPr>
      <w:szCs w:val="21"/>
    </w:rPr>
  </w:style>
  <w:style w:type="paragraph" w:customStyle="1" w:styleId="99">
    <w:name w:val="五级无标题条"/>
    <w:basedOn w:val="1"/>
    <w:qFormat/>
    <w:uiPriority w:val="0"/>
    <w:pPr>
      <w:tabs>
        <w:tab w:val="left" w:pos="2940"/>
      </w:tabs>
      <w:ind w:left="2940" w:hanging="420"/>
    </w:pPr>
  </w:style>
  <w:style w:type="paragraph" w:customStyle="1" w:styleId="100">
    <w:name w:val="TOC Number1"/>
    <w:basedOn w:val="6"/>
    <w:qFormat/>
    <w:uiPriority w:val="0"/>
    <w:pPr>
      <w:keepNext w:val="0"/>
      <w:widowControl/>
      <w:pBdr>
        <w:top w:val="single" w:color="auto" w:sz="2" w:space="1"/>
        <w:left w:val="single" w:color="auto" w:sz="2" w:space="4"/>
        <w:bottom w:val="single" w:color="auto" w:sz="2" w:space="1"/>
        <w:right w:val="single" w:color="auto" w:sz="2" w:space="2"/>
      </w:pBdr>
      <w:spacing w:line="240" w:lineRule="auto"/>
      <w:jc w:val="left"/>
      <w:outlineLvl w:val="9"/>
    </w:pPr>
    <w:rPr>
      <w:bCs w:val="0"/>
      <w:kern w:val="0"/>
      <w:sz w:val="21"/>
      <w:szCs w:val="20"/>
    </w:rPr>
  </w:style>
  <w:style w:type="paragraph" w:customStyle="1" w:styleId="101">
    <w:name w:val="Char Char1 Char 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4"/>
      <w:szCs w:val="18"/>
    </w:rPr>
  </w:style>
  <w:style w:type="paragraph" w:customStyle="1" w:styleId="10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03">
    <w:name w:val="附录四级条标题"/>
    <w:basedOn w:val="104"/>
    <w:next w:val="59"/>
    <w:qFormat/>
    <w:uiPriority w:val="0"/>
    <w:pPr>
      <w:tabs>
        <w:tab w:val="left" w:pos="360"/>
        <w:tab w:val="left" w:pos="2714"/>
      </w:tabs>
      <w:ind w:left="2714" w:hanging="420"/>
      <w:outlineLvl w:val="5"/>
    </w:pPr>
  </w:style>
  <w:style w:type="paragraph" w:customStyle="1" w:styleId="104">
    <w:name w:val="附录三级条标题"/>
    <w:basedOn w:val="105"/>
    <w:next w:val="59"/>
    <w:qFormat/>
    <w:uiPriority w:val="0"/>
    <w:pPr>
      <w:tabs>
        <w:tab w:val="left" w:pos="360"/>
      </w:tabs>
    </w:pPr>
  </w:style>
  <w:style w:type="paragraph" w:customStyle="1" w:styleId="105">
    <w:name w:val="附录二级条标题"/>
    <w:basedOn w:val="97"/>
    <w:next w:val="59"/>
    <w:qFormat/>
    <w:uiPriority w:val="0"/>
    <w:pPr>
      <w:outlineLvl w:val="3"/>
    </w:pPr>
  </w:style>
  <w:style w:type="paragraph" w:customStyle="1" w:styleId="106">
    <w:name w:val="Char11"/>
    <w:basedOn w:val="1"/>
    <w:qFormat/>
    <w:uiPriority w:val="0"/>
    <w:rPr>
      <w:rFonts w:ascii="宋体"/>
      <w:kern w:val="0"/>
      <w:sz w:val="34"/>
      <w:szCs w:val="20"/>
    </w:rPr>
  </w:style>
  <w:style w:type="paragraph" w:customStyle="1" w:styleId="107">
    <w:name w:val="Char2"/>
    <w:basedOn w:val="1"/>
    <w:qFormat/>
    <w:uiPriority w:val="0"/>
  </w:style>
  <w:style w:type="paragraph" w:customStyle="1" w:styleId="108">
    <w:name w:val="Char1"/>
    <w:basedOn w:val="1"/>
    <w:qFormat/>
    <w:uiPriority w:val="0"/>
    <w:rPr>
      <w:rFonts w:ascii="宋体"/>
      <w:kern w:val="0"/>
      <w:sz w:val="34"/>
      <w:szCs w:val="20"/>
    </w:rPr>
  </w:style>
  <w:style w:type="paragraph" w:customStyle="1" w:styleId="109">
    <w:name w:val="用户正文1"/>
    <w:qFormat/>
    <w:uiPriority w:val="0"/>
    <w:pPr>
      <w:tabs>
        <w:tab w:val="left" w:pos="3885"/>
      </w:tabs>
      <w:spacing w:line="360" w:lineRule="auto"/>
      <w:jc w:val="both"/>
      <w:textAlignment w:val="center"/>
    </w:pPr>
    <w:rPr>
      <w:rFonts w:ascii="宋体" w:hAnsi="宋体" w:eastAsia="宋体" w:cs="Arial"/>
      <w:kern w:val="2"/>
      <w:sz w:val="24"/>
      <w:szCs w:val="24"/>
      <w:lang w:val="en-US" w:eastAsia="zh-CN" w:bidi="ar-SA"/>
    </w:rPr>
  </w:style>
  <w:style w:type="paragraph" w:styleId="110">
    <w:name w:val="No Spacing"/>
    <w:link w:val="242"/>
    <w:qFormat/>
    <w:uiPriority w:val="1"/>
    <w:pPr>
      <w:widowControl w:val="0"/>
      <w:spacing w:beforeLines="50" w:line="300" w:lineRule="auto"/>
      <w:jc w:val="both"/>
    </w:pPr>
    <w:rPr>
      <w:rFonts w:ascii="宋体" w:hAnsi="宋体" w:eastAsia="宋体" w:cs="Times New Roman"/>
      <w:color w:val="000000"/>
      <w:kern w:val="2"/>
      <w:sz w:val="18"/>
      <w:szCs w:val="21"/>
      <w:lang w:val="en-US" w:eastAsia="zh-CN" w:bidi="ar-SA"/>
    </w:rPr>
  </w:style>
  <w:style w:type="paragraph" w:customStyle="1" w:styleId="111">
    <w:name w:val="Char"/>
    <w:basedOn w:val="1"/>
    <w:qFormat/>
    <w:uiPriority w:val="0"/>
  </w:style>
  <w:style w:type="paragraph" w:customStyle="1" w:styleId="112">
    <w:name w:val="图表脚注"/>
    <w:next w:val="59"/>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13">
    <w:name w:val="实施日期"/>
    <w:basedOn w:val="114"/>
    <w:qFormat/>
    <w:uiPriority w:val="0"/>
    <w:pPr>
      <w:jc w:val="right"/>
    </w:pPr>
  </w:style>
  <w:style w:type="paragraph" w:customStyle="1" w:styleId="114">
    <w:name w:val="发布日期"/>
    <w:qFormat/>
    <w:uiPriority w:val="0"/>
    <w:rPr>
      <w:rFonts w:ascii="Times New Roman" w:hAnsi="Times New Roman" w:eastAsia="黑体" w:cs="Times New Roman"/>
      <w:sz w:val="28"/>
      <w:lang w:val="en-US" w:eastAsia="zh-CN" w:bidi="ar-SA"/>
    </w:rPr>
  </w:style>
  <w:style w:type="paragraph" w:customStyle="1" w:styleId="115">
    <w:name w:val="封面标准代替信息"/>
    <w:basedOn w:val="116"/>
    <w:qFormat/>
    <w:uiPriority w:val="0"/>
    <w:pPr>
      <w:spacing w:before="57"/>
    </w:pPr>
    <w:rPr>
      <w:rFonts w:ascii="宋体"/>
      <w:sz w:val="21"/>
    </w:rPr>
  </w:style>
  <w:style w:type="paragraph" w:customStyle="1" w:styleId="116">
    <w:name w:val="封面标准号2"/>
    <w:basedOn w:val="117"/>
    <w:qFormat/>
    <w:uiPriority w:val="0"/>
    <w:pPr>
      <w:adjustRightInd w:val="0"/>
      <w:spacing w:before="357" w:line="280" w:lineRule="exact"/>
    </w:pPr>
  </w:style>
  <w:style w:type="paragraph" w:customStyle="1" w:styleId="117">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18">
    <w:name w:val="D&amp;L"/>
    <w:basedOn w:val="31"/>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19">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20">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21">
    <w:name w:val="列项——"/>
    <w:qFormat/>
    <w:uiPriority w:val="0"/>
    <w:pPr>
      <w:widowControl w:val="0"/>
      <w:tabs>
        <w:tab w:val="left" w:pos="360"/>
      </w:tabs>
      <w:jc w:val="both"/>
    </w:pPr>
    <w:rPr>
      <w:rFonts w:ascii="宋体" w:hAnsi="Times New Roman" w:eastAsia="宋体" w:cs="Times New Roman"/>
      <w:sz w:val="21"/>
      <w:lang w:val="en-US" w:eastAsia="zh-CN" w:bidi="ar-SA"/>
    </w:rPr>
  </w:style>
  <w:style w:type="paragraph" w:customStyle="1" w:styleId="122">
    <w:name w:val="Char4"/>
    <w:basedOn w:val="1"/>
    <w:qFormat/>
    <w:uiPriority w:val="0"/>
  </w:style>
  <w:style w:type="paragraph" w:customStyle="1" w:styleId="123">
    <w:name w:val="二级无标题条"/>
    <w:basedOn w:val="1"/>
    <w:qFormat/>
    <w:uiPriority w:val="0"/>
    <w:pPr>
      <w:tabs>
        <w:tab w:val="left" w:pos="3660"/>
      </w:tabs>
      <w:ind w:left="3660" w:hanging="420"/>
    </w:pPr>
  </w:style>
  <w:style w:type="paragraph" w:customStyle="1" w:styleId="124">
    <w:name w:val="附录五级条标题"/>
    <w:basedOn w:val="103"/>
    <w:next w:val="59"/>
    <w:qFormat/>
    <w:uiPriority w:val="0"/>
    <w:pPr>
      <w:tabs>
        <w:tab w:val="left" w:pos="3134"/>
        <w:tab w:val="clear" w:pos="2714"/>
      </w:tabs>
      <w:ind w:left="3134"/>
      <w:outlineLvl w:val="6"/>
    </w:pPr>
  </w:style>
  <w:style w:type="paragraph" w:customStyle="1" w:styleId="125">
    <w:name w:val="(i)"/>
    <w:basedOn w:val="1"/>
    <w:qFormat/>
    <w:uiPriority w:val="0"/>
    <w:pPr>
      <w:widowControl/>
      <w:suppressAutoHyphens/>
    </w:pPr>
    <w:rPr>
      <w:rFonts w:ascii="Tms Rmn" w:hAnsi="Tms Rmn"/>
      <w:kern w:val="0"/>
      <w:sz w:val="24"/>
      <w:szCs w:val="20"/>
    </w:rPr>
  </w:style>
  <w:style w:type="paragraph" w:customStyle="1" w:styleId="126">
    <w:name w:val="示例"/>
    <w:next w:val="59"/>
    <w:qFormat/>
    <w:uiPriority w:val="0"/>
    <w:pPr>
      <w:tabs>
        <w:tab w:val="left" w:pos="360"/>
      </w:tabs>
      <w:ind w:left="720"/>
      <w:jc w:val="both"/>
    </w:pPr>
    <w:rPr>
      <w:rFonts w:ascii="宋体" w:hAnsi="Times New Roman" w:eastAsia="宋体" w:cs="Times New Roman"/>
      <w:sz w:val="18"/>
      <w:lang w:val="en-US" w:eastAsia="zh-CN" w:bidi="ar-SA"/>
    </w:rPr>
  </w:style>
  <w:style w:type="paragraph" w:customStyle="1" w:styleId="127">
    <w:name w:val="四级无标题条"/>
    <w:basedOn w:val="1"/>
    <w:qFormat/>
    <w:uiPriority w:val="0"/>
    <w:pPr>
      <w:tabs>
        <w:tab w:val="left" w:pos="2520"/>
      </w:tabs>
      <w:ind w:left="2520" w:hanging="420"/>
    </w:pPr>
  </w:style>
  <w:style w:type="paragraph" w:customStyle="1" w:styleId="128">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29">
    <w:name w:val="无间隔1"/>
    <w:qFormat/>
    <w:uiPriority w:val="1"/>
    <w:pPr>
      <w:widowControl w:val="0"/>
      <w:spacing w:line="360" w:lineRule="auto"/>
      <w:jc w:val="both"/>
    </w:pPr>
    <w:rPr>
      <w:rFonts w:ascii="Times New Roman" w:hAnsi="Times New Roman" w:eastAsia="宋体" w:cs="Times New Roman"/>
      <w:sz w:val="24"/>
      <w:lang w:val="en-US" w:eastAsia="zh-CN" w:bidi="ar-SA"/>
    </w:rPr>
  </w:style>
  <w:style w:type="paragraph" w:customStyle="1" w:styleId="130">
    <w:name w:val="四级条标题"/>
    <w:basedOn w:val="131"/>
    <w:next w:val="59"/>
    <w:qFormat/>
    <w:uiPriority w:val="0"/>
    <w:pPr>
      <w:tabs>
        <w:tab w:val="left" w:pos="360"/>
      </w:tabs>
      <w:outlineLvl w:val="5"/>
    </w:pPr>
  </w:style>
  <w:style w:type="paragraph" w:customStyle="1" w:styleId="131">
    <w:name w:val="三级条标题"/>
    <w:basedOn w:val="79"/>
    <w:next w:val="59"/>
    <w:qFormat/>
    <w:uiPriority w:val="0"/>
    <w:pPr>
      <w:outlineLvl w:val="4"/>
    </w:pPr>
  </w:style>
  <w:style w:type="paragraph" w:customStyle="1" w:styleId="132">
    <w:name w:val="List Paragraph1"/>
    <w:basedOn w:val="1"/>
    <w:qFormat/>
    <w:uiPriority w:val="0"/>
    <w:pPr>
      <w:ind w:firstLine="420" w:firstLineChars="200"/>
    </w:pPr>
    <w:rPr>
      <w:rFonts w:ascii="Calibri" w:hAnsi="Calibri"/>
      <w:szCs w:val="21"/>
    </w:rPr>
  </w:style>
  <w:style w:type="paragraph" w:customStyle="1" w:styleId="133">
    <w:name w:val="五级条标题"/>
    <w:basedOn w:val="130"/>
    <w:next w:val="59"/>
    <w:qFormat/>
    <w:uiPriority w:val="0"/>
    <w:pPr>
      <w:outlineLvl w:val="6"/>
    </w:pPr>
  </w:style>
  <w:style w:type="paragraph" w:customStyle="1" w:styleId="134">
    <w:name w:val="列出段落11"/>
    <w:basedOn w:val="1"/>
    <w:qFormat/>
    <w:uiPriority w:val="0"/>
    <w:pPr>
      <w:ind w:firstLine="420" w:firstLineChars="200"/>
    </w:pPr>
    <w:rPr>
      <w:szCs w:val="20"/>
    </w:rPr>
  </w:style>
  <w:style w:type="paragraph" w:customStyle="1" w:styleId="135">
    <w:name w:val="Char7"/>
    <w:basedOn w:val="1"/>
    <w:qFormat/>
    <w:uiPriority w:val="0"/>
    <w:pPr>
      <w:adjustRightInd w:val="0"/>
      <w:spacing w:line="360" w:lineRule="auto"/>
      <w:ind w:left="200" w:hanging="200" w:hangingChars="200"/>
      <w:textAlignment w:val="baseline"/>
    </w:pPr>
  </w:style>
  <w:style w:type="paragraph" w:customStyle="1" w:styleId="136">
    <w:name w:val="注×："/>
    <w:qFormat/>
    <w:uiPriority w:val="0"/>
    <w:pPr>
      <w:widowControl w:val="0"/>
      <w:tabs>
        <w:tab w:val="left" w:pos="630"/>
      </w:tabs>
      <w:autoSpaceDE w:val="0"/>
      <w:autoSpaceDN w:val="0"/>
      <w:jc w:val="both"/>
    </w:pPr>
    <w:rPr>
      <w:rFonts w:ascii="宋体" w:hAnsi="Times New Roman" w:eastAsia="宋体" w:cs="Times New Roman"/>
      <w:sz w:val="18"/>
      <w:lang w:val="en-US" w:eastAsia="zh-CN" w:bidi="ar-SA"/>
    </w:rPr>
  </w:style>
  <w:style w:type="paragraph" w:customStyle="1" w:styleId="137">
    <w:name w:val="paragraph1"/>
    <w:basedOn w:val="1"/>
    <w:link w:val="235"/>
    <w:qFormat/>
    <w:uiPriority w:val="0"/>
    <w:pPr>
      <w:spacing w:afterLines="30" w:line="360" w:lineRule="auto"/>
      <w:ind w:firstLine="480" w:firstLineChars="200"/>
    </w:pPr>
    <w:rPr>
      <w:rFonts w:ascii="Calibri" w:hAnsi="Calibri"/>
      <w:kern w:val="0"/>
      <w:sz w:val="24"/>
      <w:u w:color="000000"/>
    </w:rPr>
  </w:style>
  <w:style w:type="paragraph" w:customStyle="1" w:styleId="138">
    <w:name w:val="R0"/>
    <w:basedOn w:val="1"/>
    <w:qFormat/>
    <w:uiPriority w:val="0"/>
    <w:pPr>
      <w:widowControl/>
      <w:tabs>
        <w:tab w:val="left" w:pos="993"/>
      </w:tabs>
      <w:ind w:left="993" w:right="-97" w:hanging="993"/>
    </w:pPr>
    <w:rPr>
      <w:rFonts w:ascii="Arial" w:hAnsi="Arial"/>
      <w:kern w:val="0"/>
      <w:sz w:val="22"/>
      <w:szCs w:val="20"/>
      <w:lang w:val="fr-FR"/>
    </w:rPr>
  </w:style>
  <w:style w:type="paragraph" w:customStyle="1" w:styleId="139">
    <w:name w:val="_Style 8"/>
    <w:basedOn w:val="1"/>
    <w:qFormat/>
    <w:uiPriority w:val="0"/>
    <w:rPr>
      <w:szCs w:val="20"/>
    </w:rPr>
  </w:style>
  <w:style w:type="paragraph" w:customStyle="1" w:styleId="140">
    <w:name w:val="正文1"/>
    <w:basedOn w:val="1"/>
    <w:qFormat/>
    <w:uiPriority w:val="0"/>
    <w:pPr>
      <w:adjustRightInd w:val="0"/>
      <w:spacing w:line="150" w:lineRule="atLeast"/>
      <w:jc w:val="left"/>
      <w:textAlignment w:val="baseline"/>
    </w:pPr>
    <w:rPr>
      <w:rFonts w:ascii="宋体"/>
      <w:kern w:val="0"/>
      <w:sz w:val="24"/>
      <w:szCs w:val="20"/>
    </w:rPr>
  </w:style>
  <w:style w:type="paragraph" w:customStyle="1" w:styleId="141">
    <w:name w:val="GHC 正文"/>
    <w:basedOn w:val="1"/>
    <w:link w:val="193"/>
    <w:qFormat/>
    <w:uiPriority w:val="0"/>
    <w:pPr>
      <w:spacing w:line="360" w:lineRule="auto"/>
      <w:ind w:firstLine="420" w:firstLineChars="200"/>
    </w:pPr>
    <w:rPr>
      <w:rFonts w:ascii="宋体" w:hAnsi="宋体"/>
      <w:kern w:val="0"/>
      <w:sz w:val="24"/>
    </w:rPr>
  </w:style>
  <w:style w:type="paragraph" w:customStyle="1" w:styleId="142">
    <w:name w:val="不缩进"/>
    <w:basedOn w:val="1"/>
    <w:qFormat/>
    <w:uiPriority w:val="0"/>
    <w:pPr>
      <w:jc w:val="center"/>
    </w:pPr>
    <w:rPr>
      <w:sz w:val="24"/>
      <w:szCs w:val="20"/>
    </w:rPr>
  </w:style>
  <w:style w:type="paragraph" w:customStyle="1" w:styleId="143">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4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45">
    <w:name w:val="Char Char1 Char Char Char Char Char Char Char Char Char Char"/>
    <w:basedOn w:val="1"/>
    <w:qFormat/>
    <w:uiPriority w:val="0"/>
    <w:pPr>
      <w:tabs>
        <w:tab w:val="left" w:pos="360"/>
      </w:tabs>
      <w:ind w:firstLine="420" w:firstLineChars="150"/>
    </w:pPr>
    <w:rPr>
      <w:rFonts w:ascii="Arial" w:hAnsi="Arial" w:cs="Arial"/>
      <w:sz w:val="20"/>
      <w:szCs w:val="20"/>
    </w:rPr>
  </w:style>
  <w:style w:type="paragraph" w:customStyle="1" w:styleId="146">
    <w:name w:val="默认段落字体 Para Char Char Char Char"/>
    <w:basedOn w:val="1"/>
    <w:qFormat/>
    <w:uiPriority w:val="0"/>
  </w:style>
  <w:style w:type="paragraph" w:customStyle="1" w:styleId="147">
    <w:name w:val="正文图标题"/>
    <w:next w:val="59"/>
    <w:qFormat/>
    <w:uiPriority w:val="0"/>
    <w:pPr>
      <w:tabs>
        <w:tab w:val="left" w:pos="360"/>
      </w:tabs>
      <w:jc w:val="center"/>
    </w:pPr>
    <w:rPr>
      <w:rFonts w:ascii="黑体" w:hAnsi="Times New Roman" w:eastAsia="黑体" w:cs="Times New Roman"/>
      <w:sz w:val="21"/>
      <w:lang w:val="en-US" w:eastAsia="zh-CN" w:bidi="ar-SA"/>
    </w:rPr>
  </w:style>
  <w:style w:type="paragraph" w:customStyle="1" w:styleId="148">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149">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5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51">
    <w:name w:val="正文首缩2"/>
    <w:basedOn w:val="1"/>
    <w:qFormat/>
    <w:uiPriority w:val="0"/>
    <w:pPr>
      <w:spacing w:line="360" w:lineRule="auto"/>
      <w:ind w:firstLine="200" w:firstLineChars="200"/>
    </w:pPr>
    <w:rPr>
      <w:rFonts w:ascii="宋体"/>
      <w:sz w:val="24"/>
      <w:szCs w:val="21"/>
    </w:rPr>
  </w:style>
  <w:style w:type="paragraph" w:customStyle="1" w:styleId="152">
    <w:name w:val="标准书眉一"/>
    <w:qFormat/>
    <w:uiPriority w:val="0"/>
    <w:pPr>
      <w:jc w:val="both"/>
    </w:pPr>
    <w:rPr>
      <w:rFonts w:ascii="Times New Roman" w:hAnsi="Times New Roman" w:eastAsia="宋体" w:cs="Times New Roman"/>
      <w:lang w:val="en-US" w:eastAsia="zh-CN" w:bidi="ar-SA"/>
    </w:rPr>
  </w:style>
  <w:style w:type="paragraph" w:customStyle="1" w:styleId="153">
    <w:name w:val="Titre 1.1"/>
    <w:basedOn w:val="19"/>
    <w:next w:val="41"/>
    <w:qFormat/>
    <w:uiPriority w:val="0"/>
    <w:pPr>
      <w:widowControl/>
      <w:tabs>
        <w:tab w:val="left" w:pos="720"/>
      </w:tabs>
      <w:ind w:left="720" w:leftChars="0" w:hanging="360"/>
      <w:jc w:val="left"/>
    </w:pPr>
    <w:rPr>
      <w:kern w:val="0"/>
      <w:sz w:val="24"/>
      <w:u w:val="single"/>
      <w:lang w:eastAsia="fr-FR"/>
    </w:rPr>
  </w:style>
  <w:style w:type="paragraph" w:customStyle="1" w:styleId="154">
    <w:name w:val="目次、标准名称标题"/>
    <w:basedOn w:val="57"/>
    <w:next w:val="59"/>
    <w:qFormat/>
    <w:uiPriority w:val="0"/>
    <w:pPr>
      <w:tabs>
        <w:tab w:val="left" w:pos="425"/>
        <w:tab w:val="clear" w:pos="360"/>
      </w:tabs>
      <w:spacing w:line="460" w:lineRule="exact"/>
      <w:ind w:left="0" w:firstLine="0"/>
    </w:pPr>
  </w:style>
  <w:style w:type="paragraph" w:customStyle="1" w:styleId="155">
    <w:name w:val="样式 左侧:  2 字符 首行缩进:  2 字符"/>
    <w:basedOn w:val="1"/>
    <w:qFormat/>
    <w:uiPriority w:val="0"/>
    <w:pPr>
      <w:spacing w:line="360" w:lineRule="auto"/>
      <w:ind w:left="400" w:leftChars="400"/>
    </w:pPr>
    <w:rPr>
      <w:sz w:val="24"/>
      <w:szCs w:val="20"/>
    </w:rPr>
  </w:style>
  <w:style w:type="paragraph" w:customStyle="1" w:styleId="156">
    <w:name w:val="LK1"/>
    <w:basedOn w:val="1"/>
    <w:qFormat/>
    <w:uiPriority w:val="0"/>
    <w:pPr>
      <w:spacing w:line="360" w:lineRule="auto"/>
      <w:jc w:val="center"/>
    </w:pPr>
    <w:rPr>
      <w:rFonts w:ascii="宋体"/>
      <w:b/>
      <w:sz w:val="28"/>
      <w:szCs w:val="28"/>
    </w:rPr>
  </w:style>
  <w:style w:type="paragraph" w:customStyle="1" w:styleId="157">
    <w:name w:val="Section V. Header"/>
    <w:basedOn w:val="1"/>
    <w:qFormat/>
    <w:uiPriority w:val="0"/>
    <w:pPr>
      <w:widowControl/>
      <w:jc w:val="center"/>
    </w:pPr>
    <w:rPr>
      <w:b/>
      <w:kern w:val="0"/>
      <w:sz w:val="36"/>
      <w:szCs w:val="20"/>
      <w:lang w:eastAsia="en-US"/>
    </w:rPr>
  </w:style>
  <w:style w:type="paragraph" w:customStyle="1" w:styleId="158">
    <w:name w:val="Subtitle 2"/>
    <w:basedOn w:val="30"/>
    <w:qFormat/>
    <w:uiPriority w:val="0"/>
    <w:pPr>
      <w:widowControl/>
      <w:tabs>
        <w:tab w:val="clear" w:pos="4153"/>
        <w:tab w:val="clear" w:pos="8306"/>
      </w:tabs>
      <w:snapToGrid/>
      <w:jc w:val="center"/>
    </w:pPr>
    <w:rPr>
      <w:b/>
      <w:kern w:val="0"/>
      <w:sz w:val="40"/>
      <w:szCs w:val="20"/>
      <w:lang w:eastAsia="en-US"/>
    </w:rPr>
  </w:style>
  <w:style w:type="paragraph" w:styleId="159">
    <w:name w:val="List Paragraph"/>
    <w:basedOn w:val="1"/>
    <w:link w:val="213"/>
    <w:qFormat/>
    <w:uiPriority w:val="0"/>
    <w:pPr>
      <w:ind w:firstLine="420" w:firstLineChars="200"/>
    </w:pPr>
    <w:rPr>
      <w:rFonts w:ascii="Calibri" w:hAnsi="Calibri"/>
      <w:kern w:val="0"/>
      <w:sz w:val="20"/>
    </w:rPr>
  </w:style>
  <w:style w:type="paragraph" w:customStyle="1" w:styleId="160">
    <w:name w:val="条文脚注"/>
    <w:basedOn w:val="36"/>
    <w:qFormat/>
    <w:uiPriority w:val="0"/>
    <w:pPr>
      <w:ind w:left="780" w:leftChars="200" w:hanging="360" w:hangingChars="200"/>
      <w:jc w:val="both"/>
    </w:pPr>
    <w:rPr>
      <w:rFonts w:ascii="宋体"/>
    </w:rPr>
  </w:style>
  <w:style w:type="paragraph" w:customStyle="1" w:styleId="161">
    <w:name w:val="NRSection"/>
    <w:basedOn w:val="1"/>
    <w:qFormat/>
    <w:uiPriority w:val="0"/>
    <w:pPr>
      <w:widowControl/>
      <w:jc w:val="left"/>
      <w:outlineLvl w:val="4"/>
    </w:pPr>
    <w:rPr>
      <w:b/>
      <w:kern w:val="0"/>
      <w:sz w:val="24"/>
      <w:szCs w:val="20"/>
    </w:rPr>
  </w:style>
  <w:style w:type="paragraph" w:customStyle="1" w:styleId="162">
    <w:name w:val="Char Char Char Char Char Char Char Char Char Char1"/>
    <w:basedOn w:val="1"/>
    <w:link w:val="223"/>
    <w:qFormat/>
    <w:uiPriority w:val="0"/>
    <w:rPr>
      <w:rFonts w:ascii="Tahoma" w:hAnsi="Tahoma" w:eastAsia="楷体_GB2312"/>
      <w:spacing w:val="10"/>
      <w:kern w:val="0"/>
      <w:sz w:val="24"/>
      <w:szCs w:val="20"/>
    </w:rPr>
  </w:style>
  <w:style w:type="paragraph" w:customStyle="1" w:styleId="163">
    <w:name w:val="表格"/>
    <w:basedOn w:val="1"/>
    <w:qFormat/>
    <w:uiPriority w:val="0"/>
    <w:pPr>
      <w:spacing w:line="276" w:lineRule="auto"/>
      <w:jc w:val="center"/>
    </w:pPr>
    <w:rPr>
      <w:rFonts w:ascii="宋体" w:hAnsi="宋体"/>
      <w:szCs w:val="22"/>
    </w:rPr>
  </w:style>
  <w:style w:type="paragraph" w:customStyle="1" w:styleId="164">
    <w:name w:val="样式 小四 黑色 行距: 1.5 倍行距"/>
    <w:basedOn w:val="1"/>
    <w:qFormat/>
    <w:uiPriority w:val="0"/>
    <w:pPr>
      <w:spacing w:line="360" w:lineRule="exact"/>
    </w:pPr>
    <w:rPr>
      <w:rFonts w:ascii="Arial" w:hAnsi="Arial"/>
      <w:szCs w:val="20"/>
    </w:rPr>
  </w:style>
  <w:style w:type="paragraph" w:customStyle="1" w:styleId="165">
    <w:name w:val="Table 1 Tab"/>
    <w:next w:val="18"/>
    <w:qFormat/>
    <w:uiPriority w:val="0"/>
    <w:pPr>
      <w:tabs>
        <w:tab w:val="center" w:pos="567"/>
        <w:tab w:val="center" w:pos="1757"/>
        <w:tab w:val="center" w:pos="3005"/>
        <w:tab w:val="center" w:pos="4195"/>
        <w:tab w:val="center" w:pos="5443"/>
        <w:tab w:val="center" w:pos="6690"/>
        <w:tab w:val="center" w:pos="7880"/>
      </w:tabs>
    </w:pPr>
    <w:rPr>
      <w:rFonts w:ascii="Optima" w:hAnsi="Optima" w:eastAsia="宋体" w:cs="Times New Roman"/>
      <w:sz w:val="17"/>
      <w:lang w:val="en-US" w:eastAsia="en-US" w:bidi="ar-SA"/>
    </w:rPr>
  </w:style>
  <w:style w:type="paragraph" w:customStyle="1" w:styleId="166">
    <w:name w:val="A"/>
    <w:basedOn w:val="1"/>
    <w:qFormat/>
    <w:uiPriority w:val="0"/>
    <w:pPr>
      <w:adjustRightInd w:val="0"/>
      <w:spacing w:line="480" w:lineRule="atLeast"/>
      <w:jc w:val="center"/>
      <w:textAlignment w:val="baseline"/>
    </w:pPr>
    <w:rPr>
      <w:rFonts w:ascii="宋体"/>
      <w:kern w:val="0"/>
      <w:sz w:val="32"/>
      <w:szCs w:val="20"/>
    </w:rPr>
  </w:style>
  <w:style w:type="paragraph" w:customStyle="1" w:styleId="167">
    <w:name w:val="Char Char1 Char"/>
    <w:basedOn w:val="1"/>
    <w:qFormat/>
    <w:uiPriority w:val="0"/>
    <w:pPr>
      <w:tabs>
        <w:tab w:val="left" w:pos="360"/>
      </w:tabs>
      <w:ind w:firstLine="420" w:firstLineChars="150"/>
    </w:pPr>
    <w:rPr>
      <w:rFonts w:ascii="Arial" w:hAnsi="Arial" w:cs="Arial"/>
      <w:sz w:val="20"/>
      <w:szCs w:val="20"/>
    </w:rPr>
  </w:style>
  <w:style w:type="paragraph" w:customStyle="1" w:styleId="168">
    <w:name w:val="默认段落字体 Para Char"/>
    <w:basedOn w:val="1"/>
    <w:qFormat/>
    <w:uiPriority w:val="0"/>
  </w:style>
  <w:style w:type="paragraph" w:customStyle="1" w:styleId="169">
    <w:name w:val="Char Char Char Char Char Char Char Char Char Char Char Char"/>
    <w:basedOn w:val="1"/>
    <w:qFormat/>
    <w:uiPriority w:val="0"/>
    <w:pPr>
      <w:spacing w:line="360" w:lineRule="auto"/>
    </w:pPr>
    <w:rPr>
      <w:rFonts w:ascii="Tahoma" w:hAnsi="Tahoma"/>
      <w:sz w:val="24"/>
      <w:szCs w:val="20"/>
    </w:rPr>
  </w:style>
  <w:style w:type="paragraph" w:customStyle="1" w:styleId="170">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71">
    <w:name w:val="三级无标题条"/>
    <w:basedOn w:val="1"/>
    <w:qFormat/>
    <w:uiPriority w:val="0"/>
    <w:pPr>
      <w:tabs>
        <w:tab w:val="left" w:pos="2102"/>
      </w:tabs>
      <w:ind w:left="2102" w:hanging="420"/>
    </w:pPr>
  </w:style>
  <w:style w:type="paragraph" w:customStyle="1" w:styleId="172">
    <w:name w:val="Form Table Title"/>
    <w:next w:val="18"/>
    <w:qFormat/>
    <w:uiPriority w:val="0"/>
    <w:pPr>
      <w:keepNext/>
      <w:tabs>
        <w:tab w:val="right" w:pos="369"/>
        <w:tab w:val="left" w:pos="510"/>
        <w:tab w:val="left" w:pos="1701"/>
      </w:tabs>
      <w:spacing w:line="270" w:lineRule="atLeast"/>
      <w:jc w:val="center"/>
    </w:pPr>
    <w:rPr>
      <w:rFonts w:ascii="Optima" w:hAnsi="Optima" w:eastAsia="宋体" w:cs="Times New Roman"/>
      <w:b/>
      <w:i/>
      <w:sz w:val="22"/>
      <w:lang w:val="en-US" w:eastAsia="en-US" w:bidi="ar-SA"/>
    </w:rPr>
  </w:style>
  <w:style w:type="paragraph" w:customStyle="1" w:styleId="173">
    <w:name w:val="列出段落111"/>
    <w:basedOn w:val="1"/>
    <w:qFormat/>
    <w:uiPriority w:val="0"/>
    <w:pPr>
      <w:ind w:firstLine="420" w:firstLineChars="200"/>
    </w:pPr>
  </w:style>
  <w:style w:type="paragraph" w:customStyle="1" w:styleId="174">
    <w:name w:val="列出段落1"/>
    <w:basedOn w:val="1"/>
    <w:link w:val="190"/>
    <w:qFormat/>
    <w:uiPriority w:val="0"/>
    <w:pPr>
      <w:adjustRightInd w:val="0"/>
      <w:ind w:firstLine="420" w:firstLineChars="200"/>
      <w:jc w:val="left"/>
      <w:textAlignment w:val="baseline"/>
    </w:pPr>
    <w:rPr>
      <w:rFonts w:ascii="Calibri" w:hAnsi="Calibri"/>
      <w:szCs w:val="22"/>
    </w:rPr>
  </w:style>
  <w:style w:type="paragraph" w:customStyle="1" w:styleId="175">
    <w:name w:val="默认段落字体 Para Char Char Char Char Char"/>
    <w:basedOn w:val="1"/>
    <w:qFormat/>
    <w:uiPriority w:val="0"/>
    <w:rPr>
      <w:rFonts w:ascii="宋体" w:hAnsi="宋体"/>
      <w:b/>
      <w:color w:val="000000"/>
      <w:sz w:val="24"/>
    </w:rPr>
  </w:style>
  <w:style w:type="paragraph" w:customStyle="1" w:styleId="176">
    <w:name w:val="封面正文"/>
    <w:qFormat/>
    <w:uiPriority w:val="0"/>
    <w:pPr>
      <w:jc w:val="both"/>
    </w:pPr>
    <w:rPr>
      <w:rFonts w:ascii="Times New Roman" w:hAnsi="Times New Roman" w:eastAsia="宋体" w:cs="Times New Roman"/>
      <w:lang w:val="en-US" w:eastAsia="zh-CN" w:bidi="ar-SA"/>
    </w:rPr>
  </w:style>
  <w:style w:type="paragraph" w:customStyle="1" w:styleId="177">
    <w:name w:val="附录图标题"/>
    <w:next w:val="59"/>
    <w:qFormat/>
    <w:uiPriority w:val="0"/>
    <w:pPr>
      <w:jc w:val="center"/>
    </w:pPr>
    <w:rPr>
      <w:rFonts w:ascii="黑体" w:hAnsi="Times New Roman" w:eastAsia="黑体" w:cs="Times New Roman"/>
      <w:sz w:val="21"/>
      <w:lang w:val="en-US" w:eastAsia="zh-CN" w:bidi="ar-SA"/>
    </w:rPr>
  </w:style>
  <w:style w:type="paragraph" w:customStyle="1" w:styleId="178">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79">
    <w:name w:val="列出段落2"/>
    <w:basedOn w:val="1"/>
    <w:qFormat/>
    <w:uiPriority w:val="0"/>
    <w:pPr>
      <w:spacing w:line="360" w:lineRule="auto"/>
      <w:ind w:firstLine="420" w:firstLineChars="200"/>
    </w:pPr>
    <w:rPr>
      <w:rFonts w:ascii="Helvetica" w:hAnsi="Helvetica" w:cs="Helvetica"/>
      <w:sz w:val="24"/>
      <w:szCs w:val="21"/>
    </w:rPr>
  </w:style>
  <w:style w:type="paragraph" w:customStyle="1" w:styleId="180">
    <w:name w:val="默认段落字体 Para Char Char Char Char Char Char Char"/>
    <w:basedOn w:val="1"/>
    <w:qFormat/>
    <w:uiPriority w:val="0"/>
    <w:pPr>
      <w:adjustRightInd w:val="0"/>
      <w:spacing w:line="360" w:lineRule="auto"/>
      <w:ind w:left="200" w:hanging="200" w:hangingChars="200"/>
      <w:textAlignment w:val="baseline"/>
    </w:pPr>
    <w:rPr>
      <w:kern w:val="0"/>
      <w:sz w:val="24"/>
      <w:szCs w:val="20"/>
    </w:rPr>
  </w:style>
  <w:style w:type="paragraph" w:customStyle="1" w:styleId="181">
    <w:name w:val="0"/>
    <w:basedOn w:val="1"/>
    <w:qFormat/>
    <w:uiPriority w:val="0"/>
    <w:pPr>
      <w:widowControl/>
      <w:snapToGrid w:val="0"/>
    </w:pPr>
    <w:rPr>
      <w:kern w:val="0"/>
      <w:szCs w:val="21"/>
    </w:rPr>
  </w:style>
  <w:style w:type="paragraph" w:customStyle="1" w:styleId="182">
    <w:name w:val="无标题条"/>
    <w:next w:val="59"/>
    <w:qFormat/>
    <w:uiPriority w:val="0"/>
    <w:pPr>
      <w:jc w:val="both"/>
    </w:pPr>
    <w:rPr>
      <w:rFonts w:ascii="Times New Roman" w:hAnsi="Times New Roman" w:eastAsia="宋体" w:cs="Times New Roman"/>
      <w:sz w:val="21"/>
      <w:lang w:val="en-US" w:eastAsia="zh-CN" w:bidi="ar-SA"/>
    </w:rPr>
  </w:style>
  <w:style w:type="character" w:customStyle="1" w:styleId="183">
    <w:name w:val="页脚 Char"/>
    <w:link w:val="30"/>
    <w:qFormat/>
    <w:uiPriority w:val="0"/>
    <w:rPr>
      <w:sz w:val="18"/>
      <w:szCs w:val="18"/>
    </w:rPr>
  </w:style>
  <w:style w:type="character" w:customStyle="1" w:styleId="184">
    <w:name w:val="Char Char6"/>
    <w:qFormat/>
    <w:uiPriority w:val="0"/>
    <w:rPr>
      <w:rFonts w:ascii="黑体" w:eastAsia="黑体"/>
      <w:szCs w:val="24"/>
      <w:lang w:val="en-US" w:eastAsia="zh-CN" w:bidi="ar-SA"/>
    </w:rPr>
  </w:style>
  <w:style w:type="character" w:customStyle="1" w:styleId="185">
    <w:name w:val="HTML 地址 Char"/>
    <w:link w:val="21"/>
    <w:qFormat/>
    <w:uiPriority w:val="0"/>
    <w:rPr>
      <w:rFonts w:ascii="Times New Roman" w:hAnsi="Times New Roman" w:eastAsia="宋体" w:cs="Times New Roman"/>
      <w:i/>
      <w:iCs/>
      <w:szCs w:val="24"/>
    </w:rPr>
  </w:style>
  <w:style w:type="character" w:customStyle="1" w:styleId="186">
    <w:name w:val="标题 2 Char1"/>
    <w:link w:val="4"/>
    <w:qFormat/>
    <w:uiPriority w:val="0"/>
    <w:rPr>
      <w:rFonts w:ascii="Times New Roman" w:hAnsi="Times New Roman" w:eastAsia="宋体" w:cs="Times New Roman"/>
      <w:szCs w:val="24"/>
    </w:rPr>
  </w:style>
  <w:style w:type="character" w:customStyle="1" w:styleId="187">
    <w:name w:val="页眉 Char1"/>
    <w:qFormat/>
    <w:uiPriority w:val="0"/>
    <w:rPr>
      <w:rFonts w:eastAsia="宋体"/>
      <w:kern w:val="2"/>
      <w:sz w:val="18"/>
      <w:szCs w:val="18"/>
      <w:lang w:val="en-US" w:eastAsia="zh-CN" w:bidi="ar-SA"/>
    </w:rPr>
  </w:style>
  <w:style w:type="character" w:customStyle="1" w:styleId="188">
    <w:name w:val="日期 Char"/>
    <w:qFormat/>
    <w:uiPriority w:val="0"/>
    <w:rPr>
      <w:rFonts w:ascii="Times New Roman" w:hAnsi="Times New Roman" w:eastAsia="宋体" w:cs="Times New Roman"/>
      <w:sz w:val="24"/>
      <w:szCs w:val="20"/>
    </w:rPr>
  </w:style>
  <w:style w:type="character" w:customStyle="1" w:styleId="189">
    <w:name w:val="脚注文本 Char"/>
    <w:link w:val="36"/>
    <w:qFormat/>
    <w:uiPriority w:val="0"/>
    <w:rPr>
      <w:rFonts w:ascii="Times New Roman" w:hAnsi="Times New Roman" w:eastAsia="宋体" w:cs="Times New Roman"/>
      <w:sz w:val="18"/>
      <w:szCs w:val="18"/>
    </w:rPr>
  </w:style>
  <w:style w:type="character" w:customStyle="1" w:styleId="190">
    <w:name w:val="列出段落 Char"/>
    <w:link w:val="174"/>
    <w:qFormat/>
    <w:uiPriority w:val="0"/>
  </w:style>
  <w:style w:type="character" w:customStyle="1" w:styleId="191">
    <w:name w:val="Char Char Char Char Char Char Char Char Char Char Char"/>
    <w:link w:val="77"/>
    <w:qFormat/>
    <w:uiPriority w:val="0"/>
    <w:rPr>
      <w:rFonts w:ascii="Tahoma" w:hAnsi="Tahoma" w:eastAsia="楷体_GB2312"/>
      <w:spacing w:val="10"/>
      <w:sz w:val="24"/>
    </w:rPr>
  </w:style>
  <w:style w:type="character" w:customStyle="1" w:styleId="192">
    <w:name w:val="批注文字 Char"/>
    <w:qFormat/>
    <w:uiPriority w:val="99"/>
    <w:rPr>
      <w:kern w:val="2"/>
      <w:sz w:val="21"/>
      <w:szCs w:val="24"/>
    </w:rPr>
  </w:style>
  <w:style w:type="character" w:customStyle="1" w:styleId="193">
    <w:name w:val="GHC 正文 Char"/>
    <w:link w:val="141"/>
    <w:qFormat/>
    <w:uiPriority w:val="0"/>
    <w:rPr>
      <w:rFonts w:ascii="宋体" w:hAnsi="宋体"/>
      <w:sz w:val="24"/>
      <w:szCs w:val="24"/>
    </w:rPr>
  </w:style>
  <w:style w:type="character" w:customStyle="1" w:styleId="194">
    <w:name w:val="HTML 预设格式 Char"/>
    <w:link w:val="42"/>
    <w:qFormat/>
    <w:uiPriority w:val="0"/>
    <w:rPr>
      <w:rFonts w:ascii="Courier New" w:hAnsi="Courier New" w:eastAsia="宋体" w:cs="Courier New"/>
      <w:sz w:val="20"/>
      <w:szCs w:val="20"/>
    </w:rPr>
  </w:style>
  <w:style w:type="character" w:customStyle="1" w:styleId="195">
    <w:name w:val="日期 Char1"/>
    <w:link w:val="26"/>
    <w:qFormat/>
    <w:uiPriority w:val="0"/>
    <w:rPr>
      <w:rFonts w:eastAsia="宋体"/>
      <w:sz w:val="30"/>
    </w:rPr>
  </w:style>
  <w:style w:type="character" w:customStyle="1" w:styleId="196">
    <w:name w:val="正文文本缩进 2 Char"/>
    <w:qFormat/>
    <w:uiPriority w:val="0"/>
    <w:rPr>
      <w:rFonts w:ascii="Arial" w:hAnsi="Arial" w:eastAsia="宋体" w:cs="Times New Roman"/>
      <w:bCs/>
      <w:sz w:val="24"/>
      <w:szCs w:val="24"/>
    </w:rPr>
  </w:style>
  <w:style w:type="character" w:customStyle="1" w:styleId="197">
    <w:name w:val="正文文本 Char1"/>
    <w:link w:val="18"/>
    <w:qFormat/>
    <w:uiPriority w:val="0"/>
    <w:rPr>
      <w:rFonts w:ascii="黑体" w:eastAsia="黑体"/>
      <w:szCs w:val="24"/>
    </w:rPr>
  </w:style>
  <w:style w:type="character" w:customStyle="1" w:styleId="198">
    <w:name w:val="文档结构图 Char1"/>
    <w:semiHidden/>
    <w:qFormat/>
    <w:uiPriority w:val="99"/>
    <w:rPr>
      <w:rFonts w:ascii="宋体" w:hAnsi="Times New Roman" w:eastAsia="宋体" w:cs="Times New Roman"/>
      <w:sz w:val="18"/>
      <w:szCs w:val="18"/>
    </w:rPr>
  </w:style>
  <w:style w:type="character" w:customStyle="1" w:styleId="199">
    <w:name w:val="批注文字 Char1"/>
    <w:link w:val="15"/>
    <w:semiHidden/>
    <w:qFormat/>
    <w:uiPriority w:val="99"/>
    <w:rPr>
      <w:rFonts w:ascii="Times New Roman" w:hAnsi="Times New Roman" w:eastAsia="宋体" w:cs="Times New Roman"/>
      <w:szCs w:val="24"/>
    </w:rPr>
  </w:style>
  <w:style w:type="character" w:customStyle="1" w:styleId="200">
    <w:name w:val="正文文本 3 Char1"/>
    <w:link w:val="17"/>
    <w:qFormat/>
    <w:uiPriority w:val="0"/>
    <w:rPr>
      <w:rFonts w:ascii="Times New Roman" w:hAnsi="Times New Roman" w:eastAsia="宋体" w:cs="Times New Roman"/>
      <w:sz w:val="48"/>
      <w:szCs w:val="24"/>
    </w:rPr>
  </w:style>
  <w:style w:type="character" w:customStyle="1" w:styleId="201">
    <w:name w:val="正文文本缩进 2 Char1"/>
    <w:link w:val="27"/>
    <w:qFormat/>
    <w:uiPriority w:val="0"/>
    <w:rPr>
      <w:rFonts w:ascii="Times New Roman" w:hAnsi="Times New Roman" w:eastAsia="宋体" w:cs="Times New Roman"/>
      <w:szCs w:val="24"/>
    </w:rPr>
  </w:style>
  <w:style w:type="character" w:customStyle="1" w:styleId="202">
    <w:name w:val="纯文本 Char1"/>
    <w:link w:val="24"/>
    <w:qFormat/>
    <w:locked/>
    <w:uiPriority w:val="0"/>
    <w:rPr>
      <w:rFonts w:ascii="宋体" w:hAnsi="Courier New" w:eastAsia="宋体"/>
    </w:rPr>
  </w:style>
  <w:style w:type="character" w:customStyle="1" w:styleId="203">
    <w:name w:val="标题 Char"/>
    <w:qFormat/>
    <w:uiPriority w:val="0"/>
    <w:rPr>
      <w:rFonts w:ascii="Times New Roman" w:hAnsi="Times New Roman" w:eastAsia="宋体" w:cs="Times New Roman"/>
      <w:b/>
      <w:sz w:val="32"/>
      <w:szCs w:val="20"/>
    </w:rPr>
  </w:style>
  <w:style w:type="character" w:customStyle="1" w:styleId="204">
    <w:name w:val="标题 3 Char"/>
    <w:link w:val="5"/>
    <w:qFormat/>
    <w:uiPriority w:val="0"/>
    <w:rPr>
      <w:rFonts w:ascii="Times New Roman" w:hAnsi="Times New Roman" w:eastAsia="宋体" w:cs="Times New Roman"/>
      <w:b/>
      <w:bCs/>
      <w:sz w:val="32"/>
      <w:szCs w:val="32"/>
    </w:rPr>
  </w:style>
  <w:style w:type="character" w:customStyle="1" w:styleId="205">
    <w:name w:val="文档结构图 Char"/>
    <w:link w:val="14"/>
    <w:qFormat/>
    <w:uiPriority w:val="0"/>
    <w:rPr>
      <w:rFonts w:eastAsia="宋体"/>
      <w:szCs w:val="24"/>
      <w:shd w:val="clear" w:color="auto" w:fill="000080"/>
    </w:rPr>
  </w:style>
  <w:style w:type="character" w:customStyle="1" w:styleId="206">
    <w:name w:val="普通文字 Char Char Char Char"/>
    <w:qFormat/>
    <w:uiPriority w:val="0"/>
    <w:rPr>
      <w:rFonts w:ascii="楷体_GB2312" w:hAnsi="Courier New" w:eastAsia="楷体_GB2312"/>
      <w:kern w:val="2"/>
      <w:sz w:val="24"/>
      <w:lang w:val="en-US" w:eastAsia="zh-CN" w:bidi="ar-SA"/>
    </w:rPr>
  </w:style>
  <w:style w:type="character" w:customStyle="1" w:styleId="207">
    <w:name w:val="Char Char Char"/>
    <w:qFormat/>
    <w:uiPriority w:val="0"/>
    <w:rPr>
      <w:rFonts w:ascii="宋体" w:hAnsi="Courier New" w:eastAsia="宋体"/>
      <w:kern w:val="2"/>
      <w:sz w:val="24"/>
      <w:szCs w:val="24"/>
      <w:lang w:val="en-US" w:eastAsia="zh-CN" w:bidi="ar-SA"/>
    </w:rPr>
  </w:style>
  <w:style w:type="character" w:customStyle="1" w:styleId="208">
    <w:name w:val="标题 9 Char"/>
    <w:link w:val="11"/>
    <w:qFormat/>
    <w:uiPriority w:val="0"/>
    <w:rPr>
      <w:rFonts w:ascii="Arial" w:hAnsi="Arial" w:eastAsia="宋体" w:cs="Times New Roman"/>
      <w:b/>
      <w:i/>
      <w:kern w:val="0"/>
      <w:sz w:val="18"/>
      <w:szCs w:val="20"/>
      <w:lang w:val="fr-FR" w:eastAsia="fr-FR"/>
    </w:rPr>
  </w:style>
  <w:style w:type="character" w:customStyle="1" w:styleId="209">
    <w:name w:val="font1"/>
    <w:qFormat/>
    <w:uiPriority w:val="0"/>
    <w:rPr>
      <w:color w:val="999999"/>
      <w:sz w:val="18"/>
      <w:szCs w:val="18"/>
      <w:u w:val="none"/>
    </w:rPr>
  </w:style>
  <w:style w:type="character" w:customStyle="1" w:styleId="210">
    <w:name w:val="正文文本 3 Char"/>
    <w:qFormat/>
    <w:uiPriority w:val="0"/>
    <w:rPr>
      <w:rFonts w:ascii="Times New Roman" w:hAnsi="Times New Roman" w:eastAsia="宋体" w:cs="Times New Roman"/>
      <w:sz w:val="48"/>
      <w:szCs w:val="24"/>
    </w:rPr>
  </w:style>
  <w:style w:type="character" w:customStyle="1" w:styleId="211">
    <w:name w:val="标题 5 Char"/>
    <w:link w:val="7"/>
    <w:qFormat/>
    <w:uiPriority w:val="0"/>
    <w:rPr>
      <w:rFonts w:ascii="Arial" w:hAnsi="Arial" w:eastAsia="宋体" w:cs="Times New Roman"/>
      <w:kern w:val="0"/>
      <w:sz w:val="22"/>
      <w:szCs w:val="20"/>
      <w:lang w:val="fr-FR" w:eastAsia="fr-FR"/>
    </w:rPr>
  </w:style>
  <w:style w:type="character" w:customStyle="1" w:styleId="212">
    <w:name w:val="正文文本缩进 3 Char1"/>
    <w:link w:val="38"/>
    <w:qFormat/>
    <w:uiPriority w:val="0"/>
    <w:rPr>
      <w:rFonts w:ascii="Times New Roman" w:hAnsi="Times New Roman" w:eastAsia="宋体" w:cs="Times New Roman"/>
      <w:sz w:val="16"/>
      <w:szCs w:val="16"/>
    </w:rPr>
  </w:style>
  <w:style w:type="character" w:customStyle="1" w:styleId="213">
    <w:name w:val="列出段落 Char1"/>
    <w:link w:val="159"/>
    <w:qFormat/>
    <w:uiPriority w:val="0"/>
    <w:rPr>
      <w:szCs w:val="24"/>
    </w:rPr>
  </w:style>
  <w:style w:type="character" w:customStyle="1" w:styleId="214">
    <w:name w:val="正文文本缩进 3 Char"/>
    <w:qFormat/>
    <w:uiPriority w:val="0"/>
    <w:rPr>
      <w:rFonts w:ascii="Arial" w:hAnsi="Arial" w:eastAsia="宋体" w:cs="Times New Roman"/>
      <w:bCs/>
      <w:szCs w:val="24"/>
    </w:rPr>
  </w:style>
  <w:style w:type="character" w:customStyle="1" w:styleId="215">
    <w:name w:val="日期 Char2"/>
    <w:semiHidden/>
    <w:qFormat/>
    <w:uiPriority w:val="99"/>
    <w:rPr>
      <w:rFonts w:ascii="Times New Roman" w:hAnsi="Times New Roman" w:eastAsia="宋体" w:cs="Times New Roman"/>
      <w:szCs w:val="24"/>
    </w:rPr>
  </w:style>
  <w:style w:type="character" w:customStyle="1" w:styleId="216">
    <w:name w:val="正文文本 Char"/>
    <w:qFormat/>
    <w:uiPriority w:val="0"/>
    <w:rPr>
      <w:rFonts w:ascii="Times New Roman" w:hAnsi="Times New Roman" w:eastAsia="隶书" w:cs="Times New Roman"/>
      <w:sz w:val="44"/>
      <w:szCs w:val="24"/>
    </w:rPr>
  </w:style>
  <w:style w:type="character" w:customStyle="1" w:styleId="217">
    <w:name w:val="标题 Char1"/>
    <w:link w:val="45"/>
    <w:qFormat/>
    <w:uiPriority w:val="0"/>
    <w:rPr>
      <w:rFonts w:ascii="Times New Roman" w:hAnsi="Times New Roman" w:eastAsia="宋体" w:cs="Times New Roman"/>
      <w:b/>
      <w:sz w:val="32"/>
      <w:szCs w:val="20"/>
    </w:rPr>
  </w:style>
  <w:style w:type="character" w:customStyle="1" w:styleId="218">
    <w:name w:val="批注主题 Char"/>
    <w:link w:val="46"/>
    <w:qFormat/>
    <w:uiPriority w:val="0"/>
    <w:rPr>
      <w:rFonts w:ascii="Times New Roman" w:hAnsi="Times New Roman" w:eastAsia="宋体" w:cs="Times New Roman"/>
      <w:b/>
      <w:bCs/>
      <w:szCs w:val="24"/>
    </w:rPr>
  </w:style>
  <w:style w:type="character" w:customStyle="1" w:styleId="219">
    <w:name w:val="副标题 Char"/>
    <w:qFormat/>
    <w:uiPriority w:val="0"/>
    <w:rPr>
      <w:rFonts w:ascii="Times New Roman" w:hAnsi="Times New Roman" w:eastAsia="宋体" w:cs="Times New Roman"/>
      <w:sz w:val="28"/>
      <w:szCs w:val="20"/>
    </w:rPr>
  </w:style>
  <w:style w:type="character" w:customStyle="1" w:styleId="220">
    <w:name w:val="批注框文本 Char1"/>
    <w:semiHidden/>
    <w:qFormat/>
    <w:uiPriority w:val="99"/>
    <w:rPr>
      <w:rFonts w:ascii="Times New Roman" w:hAnsi="Times New Roman" w:eastAsia="宋体" w:cs="Times New Roman"/>
      <w:sz w:val="18"/>
      <w:szCs w:val="18"/>
    </w:rPr>
  </w:style>
  <w:style w:type="character" w:customStyle="1" w:styleId="221">
    <w:name w:val="标题 2 Char"/>
    <w:qFormat/>
    <w:uiPriority w:val="0"/>
    <w:rPr>
      <w:rFonts w:ascii="Cambria" w:hAnsi="Cambria" w:eastAsia="宋体" w:cs="Times New Roman"/>
      <w:b/>
      <w:bCs/>
      <w:sz w:val="32"/>
      <w:szCs w:val="32"/>
    </w:rPr>
  </w:style>
  <w:style w:type="character" w:customStyle="1" w:styleId="222">
    <w:name w:val="Document Header1 Char Char1"/>
    <w:qFormat/>
    <w:uiPriority w:val="0"/>
    <w:rPr>
      <w:rFonts w:ascii="黑体" w:eastAsia="黑体"/>
      <w:szCs w:val="24"/>
      <w:lang w:val="en-US" w:eastAsia="zh-CN" w:bidi="ar-SA"/>
    </w:rPr>
  </w:style>
  <w:style w:type="character" w:customStyle="1" w:styleId="223">
    <w:name w:val="Char Char Char Char Char Char Char Char Char Char Char1"/>
    <w:link w:val="162"/>
    <w:qFormat/>
    <w:uiPriority w:val="0"/>
    <w:rPr>
      <w:rFonts w:ascii="Tahoma" w:hAnsi="Tahoma" w:eastAsia="楷体_GB2312"/>
      <w:spacing w:val="10"/>
      <w:sz w:val="24"/>
    </w:rPr>
  </w:style>
  <w:style w:type="character" w:customStyle="1" w:styleId="224">
    <w:name w:val="标题 4 Char Char Char Char"/>
    <w:qFormat/>
    <w:uiPriority w:val="0"/>
    <w:rPr>
      <w:rFonts w:ascii="Arial" w:hAnsi="Arial" w:eastAsia="黑体"/>
      <w:b/>
      <w:bCs/>
      <w:kern w:val="2"/>
      <w:sz w:val="28"/>
      <w:szCs w:val="28"/>
      <w:lang w:val="en-US" w:eastAsia="zh-CN" w:bidi="ar-SA"/>
    </w:rPr>
  </w:style>
  <w:style w:type="character" w:customStyle="1" w:styleId="225">
    <w:name w:val="标题 1 Char"/>
    <w:qFormat/>
    <w:uiPriority w:val="0"/>
    <w:rPr>
      <w:rFonts w:ascii="Times New Roman" w:hAnsi="Times New Roman" w:eastAsia="宋体" w:cs="Times New Roman"/>
      <w:b/>
      <w:bCs/>
      <w:kern w:val="44"/>
      <w:sz w:val="44"/>
      <w:szCs w:val="44"/>
    </w:rPr>
  </w:style>
  <w:style w:type="character" w:customStyle="1" w:styleId="226">
    <w:name w:val="称呼 Char"/>
    <w:link w:val="16"/>
    <w:qFormat/>
    <w:uiPriority w:val="0"/>
    <w:rPr>
      <w:rFonts w:ascii="Times New Roman" w:hAnsi="Times New Roman" w:eastAsia="宋体" w:cs="Times New Roman"/>
      <w:sz w:val="24"/>
      <w:szCs w:val="20"/>
    </w:rPr>
  </w:style>
  <w:style w:type="character" w:customStyle="1" w:styleId="227">
    <w:name w:val="批注框文本 Char"/>
    <w:link w:val="29"/>
    <w:qFormat/>
    <w:uiPriority w:val="0"/>
    <w:rPr>
      <w:rFonts w:eastAsia="宋体"/>
      <w:sz w:val="18"/>
      <w:szCs w:val="18"/>
    </w:rPr>
  </w:style>
  <w:style w:type="character" w:customStyle="1" w:styleId="228">
    <w:name w:val="标题 8 Char"/>
    <w:link w:val="10"/>
    <w:qFormat/>
    <w:uiPriority w:val="0"/>
    <w:rPr>
      <w:rFonts w:ascii="Arial" w:hAnsi="Arial" w:eastAsia="宋体" w:cs="Times New Roman"/>
      <w:i/>
      <w:kern w:val="0"/>
      <w:sz w:val="24"/>
      <w:szCs w:val="20"/>
      <w:lang w:val="fr-FR" w:eastAsia="fr-FR"/>
    </w:rPr>
  </w:style>
  <w:style w:type="character" w:customStyle="1" w:styleId="229">
    <w:name w:val="纯文本 Char2"/>
    <w:semiHidden/>
    <w:qFormat/>
    <w:uiPriority w:val="99"/>
    <w:rPr>
      <w:rFonts w:ascii="宋体" w:hAnsi="Courier New" w:eastAsia="宋体" w:cs="Courier New"/>
      <w:szCs w:val="21"/>
    </w:rPr>
  </w:style>
  <w:style w:type="character" w:customStyle="1" w:styleId="230">
    <w:name w:val="页眉 Char"/>
    <w:link w:val="31"/>
    <w:qFormat/>
    <w:uiPriority w:val="0"/>
    <w:rPr>
      <w:sz w:val="18"/>
      <w:szCs w:val="18"/>
    </w:rPr>
  </w:style>
  <w:style w:type="character" w:customStyle="1" w:styleId="231">
    <w:name w:val="Char Char7"/>
    <w:qFormat/>
    <w:uiPriority w:val="0"/>
    <w:rPr>
      <w:rFonts w:eastAsia="宋体"/>
      <w:kern w:val="2"/>
      <w:sz w:val="18"/>
      <w:szCs w:val="18"/>
      <w:lang w:val="en-US" w:eastAsia="zh-CN" w:bidi="ar-SA"/>
    </w:rPr>
  </w:style>
  <w:style w:type="character" w:customStyle="1" w:styleId="232">
    <w:name w:val="页脚 Char1"/>
    <w:qFormat/>
    <w:uiPriority w:val="0"/>
    <w:rPr>
      <w:rFonts w:eastAsia="宋体"/>
      <w:kern w:val="2"/>
      <w:sz w:val="18"/>
      <w:szCs w:val="18"/>
      <w:lang w:val="en-US" w:eastAsia="zh-CN" w:bidi="ar-SA"/>
    </w:rPr>
  </w:style>
  <w:style w:type="character" w:customStyle="1" w:styleId="233">
    <w:name w:val="尾注文本 Char"/>
    <w:link w:val="28"/>
    <w:qFormat/>
    <w:uiPriority w:val="0"/>
    <w:rPr>
      <w:rFonts w:ascii="Arial" w:hAnsi="Arial" w:eastAsia="宋体" w:cs="Times New Roman"/>
      <w:kern w:val="0"/>
      <w:sz w:val="20"/>
      <w:szCs w:val="20"/>
      <w:lang w:val="fr-FR"/>
    </w:rPr>
  </w:style>
  <w:style w:type="character" w:customStyle="1" w:styleId="234">
    <w:name w:val="副标题 Char1"/>
    <w:link w:val="34"/>
    <w:qFormat/>
    <w:uiPriority w:val="0"/>
    <w:rPr>
      <w:rFonts w:ascii="Times New Roman" w:hAnsi="Times New Roman" w:eastAsia="宋体" w:cs="Times New Roman"/>
      <w:sz w:val="28"/>
      <w:szCs w:val="20"/>
    </w:rPr>
  </w:style>
  <w:style w:type="character" w:customStyle="1" w:styleId="235">
    <w:name w:val="paragraph1 Char"/>
    <w:link w:val="137"/>
    <w:qFormat/>
    <w:uiPriority w:val="0"/>
    <w:rPr>
      <w:sz w:val="24"/>
      <w:szCs w:val="24"/>
      <w:u w:val="none" w:color="000000"/>
    </w:rPr>
  </w:style>
  <w:style w:type="character" w:customStyle="1" w:styleId="236">
    <w:name w:val="标题 4 Char"/>
    <w:link w:val="6"/>
    <w:qFormat/>
    <w:uiPriority w:val="0"/>
    <w:rPr>
      <w:rFonts w:ascii="Times New Roman" w:hAnsi="Times New Roman" w:eastAsia="宋体" w:cs="Times New Roman"/>
      <w:b/>
      <w:bCs/>
      <w:sz w:val="48"/>
      <w:szCs w:val="24"/>
    </w:rPr>
  </w:style>
  <w:style w:type="character" w:customStyle="1" w:styleId="237">
    <w:name w:val="正文文本 2 Char"/>
    <w:qFormat/>
    <w:uiPriority w:val="0"/>
    <w:rPr>
      <w:rFonts w:ascii="宋体" w:hAnsi="Times New Roman" w:eastAsia="宋体" w:cs="Times New Roman"/>
      <w:sz w:val="28"/>
      <w:szCs w:val="24"/>
    </w:rPr>
  </w:style>
  <w:style w:type="character" w:customStyle="1" w:styleId="238">
    <w:name w:val="Char Char5"/>
    <w:qFormat/>
    <w:uiPriority w:val="0"/>
    <w:rPr>
      <w:rFonts w:eastAsia="宋体"/>
      <w:kern w:val="2"/>
      <w:sz w:val="18"/>
      <w:szCs w:val="18"/>
      <w:lang w:val="en-US" w:eastAsia="zh-CN" w:bidi="ar-SA"/>
    </w:rPr>
  </w:style>
  <w:style w:type="character" w:customStyle="1" w:styleId="239">
    <w:name w:val="正文文本缩进 Char1"/>
    <w:link w:val="19"/>
    <w:qFormat/>
    <w:uiPriority w:val="0"/>
    <w:rPr>
      <w:rFonts w:ascii="Times New Roman" w:hAnsi="Times New Roman" w:eastAsia="宋体" w:cs="Times New Roman"/>
      <w:szCs w:val="24"/>
    </w:rPr>
  </w:style>
  <w:style w:type="character" w:customStyle="1" w:styleId="240">
    <w:name w:val="纯文本 Char"/>
    <w:qFormat/>
    <w:uiPriority w:val="0"/>
    <w:rPr>
      <w:rFonts w:ascii="宋体" w:hAnsi="Courier New" w:eastAsia="宋体" w:cs="Times New Roman"/>
      <w:szCs w:val="20"/>
    </w:rPr>
  </w:style>
  <w:style w:type="character" w:customStyle="1" w:styleId="241">
    <w:name w:val="标题 7 Char"/>
    <w:link w:val="9"/>
    <w:qFormat/>
    <w:uiPriority w:val="0"/>
    <w:rPr>
      <w:rFonts w:ascii="Arial" w:hAnsi="Arial" w:eastAsia="宋体" w:cs="Times New Roman"/>
      <w:kern w:val="0"/>
      <w:sz w:val="24"/>
      <w:szCs w:val="20"/>
      <w:lang w:val="fr-FR" w:eastAsia="fr-FR"/>
    </w:rPr>
  </w:style>
  <w:style w:type="character" w:customStyle="1" w:styleId="242">
    <w:name w:val="无间隔 Char"/>
    <w:link w:val="110"/>
    <w:qFormat/>
    <w:locked/>
    <w:uiPriority w:val="1"/>
    <w:rPr>
      <w:rFonts w:ascii="宋体" w:hAnsi="宋体"/>
      <w:color w:val="000000"/>
      <w:kern w:val="2"/>
      <w:sz w:val="18"/>
      <w:szCs w:val="21"/>
      <w:lang w:val="en-US" w:eastAsia="zh-CN" w:bidi="ar-SA"/>
    </w:rPr>
  </w:style>
  <w:style w:type="character" w:customStyle="1" w:styleId="243">
    <w:name w:val="标题 6 Char"/>
    <w:link w:val="8"/>
    <w:qFormat/>
    <w:uiPriority w:val="0"/>
    <w:rPr>
      <w:rFonts w:ascii="Arial" w:hAnsi="Arial" w:eastAsia="宋体" w:cs="Times New Roman"/>
      <w:i/>
      <w:kern w:val="0"/>
      <w:sz w:val="22"/>
      <w:szCs w:val="20"/>
      <w:lang w:val="fr-FR" w:eastAsia="fr-FR"/>
    </w:rPr>
  </w:style>
  <w:style w:type="character" w:customStyle="1" w:styleId="244">
    <w:name w:val="正文文本 2 Char1"/>
    <w:link w:val="41"/>
    <w:qFormat/>
    <w:uiPriority w:val="0"/>
    <w:rPr>
      <w:rFonts w:ascii="宋体" w:hAnsi="Times New Roman" w:eastAsia="宋体" w:cs="Times New Roman"/>
      <w:sz w:val="28"/>
      <w:szCs w:val="24"/>
    </w:rPr>
  </w:style>
  <w:style w:type="character" w:customStyle="1" w:styleId="245">
    <w:name w:val="正文文本缩进 Char"/>
    <w:qFormat/>
    <w:uiPriority w:val="0"/>
    <w:rPr>
      <w:rFonts w:ascii="Arial" w:hAnsi="Arial" w:eastAsia="宋体" w:cs="Times New Roman"/>
      <w:bCs/>
      <w:sz w:val="24"/>
      <w:szCs w:val="24"/>
    </w:rPr>
  </w:style>
  <w:style w:type="character" w:customStyle="1" w:styleId="246">
    <w:name w:val="正文文本 Char2"/>
    <w:semiHidden/>
    <w:qFormat/>
    <w:uiPriority w:val="99"/>
    <w:rPr>
      <w:rFonts w:ascii="Times New Roman" w:hAnsi="Times New Roman" w:eastAsia="宋体" w:cs="Times New Roman"/>
      <w:szCs w:val="24"/>
    </w:rPr>
  </w:style>
  <w:style w:type="character" w:customStyle="1" w:styleId="247">
    <w:name w:val="标题 1 Char1"/>
    <w:link w:val="2"/>
    <w:qFormat/>
    <w:uiPriority w:val="0"/>
    <w:rPr>
      <w:rFonts w:ascii="黑体" w:hAnsi="Times New Roman" w:eastAsia="宋体" w:cs="Times New Roman"/>
      <w:b/>
      <w:kern w:val="0"/>
      <w:sz w:val="44"/>
      <w:szCs w:val="24"/>
    </w:rPr>
  </w:style>
  <w:style w:type="character" w:customStyle="1" w:styleId="248">
    <w:name w:val="short_text1"/>
    <w:qFormat/>
    <w:uiPriority w:val="0"/>
    <w:rPr>
      <w:sz w:val="29"/>
      <w:szCs w:val="29"/>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3938</Words>
  <Characters>22449</Characters>
  <Lines>187</Lines>
  <Paragraphs>52</Paragraphs>
  <TotalTime>0</TotalTime>
  <ScaleCrop>false</ScaleCrop>
  <LinksUpToDate>false</LinksUpToDate>
  <CharactersWithSpaces>26335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2020-11-13T03:28:00Z</dcterms:created>
  <dc:creator>Administrator</dc:creator>
  <cp:lastModifiedBy>Administrator</cp:lastModifiedBy>
  <dcterms:modified xsi:type="dcterms:W3CDTF">2020-11-13T08:26:51Z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